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342CC">
      <w:pPr>
        <w:pStyle w:val="2"/>
        <w:keepNext/>
        <w:keepLines/>
        <w:pageBreakBefore w:val="0"/>
        <w:widowControl w:val="0"/>
        <w:kinsoku/>
        <w:wordWrap/>
        <w:overflowPunct/>
        <w:topLinePunct w:val="0"/>
        <w:autoSpaceDE/>
        <w:autoSpaceDN/>
        <w:bidi w:val="0"/>
        <w:ind w:firstLine="883" w:firstLineChars="200"/>
        <w:jc w:val="both"/>
        <w:textAlignment w:val="auto"/>
        <w:rPr>
          <w:rFonts w:hint="eastAsia" w:ascii="宋体" w:hAnsi="宋体" w:cs="宋体"/>
          <w:szCs w:val="32"/>
        </w:rPr>
      </w:pPr>
      <w:r>
        <w:rPr>
          <w:rFonts w:hint="eastAsia" w:ascii="宋体" w:hAnsi="宋体" w:cs="宋体"/>
          <w:sz w:val="44"/>
        </w:rPr>
        <w:t>库伦旗致远投资开发服务有限公司2026年库伦旗1万千瓦光伏帮扶电站建设项目工程咨询服务及工程前期服务采购内容及要求</w:t>
      </w:r>
    </w:p>
    <w:p w14:paraId="4EA65996">
      <w:pPr>
        <w:pageBreakBefore w:val="0"/>
        <w:widowControl w:val="0"/>
        <w:kinsoku/>
        <w:overflowPunct/>
        <w:topLinePunct w:val="0"/>
        <w:autoSpaceDE/>
        <w:autoSpaceDN/>
        <w:bidi w:val="0"/>
        <w:ind w:firstLine="480" w:firstLineChars="200"/>
        <w:textAlignment w:val="auto"/>
        <w:rPr>
          <w:rFonts w:hint="eastAsia"/>
        </w:rPr>
      </w:pPr>
    </w:p>
    <w:p w14:paraId="5EC7A249">
      <w:pPr>
        <w:pageBreakBefore w:val="0"/>
        <w:widowControl w:val="0"/>
        <w:numPr>
          <w:ilvl w:val="0"/>
          <w:numId w:val="1"/>
        </w:numPr>
        <w:kinsoku/>
        <w:wordWrap/>
        <w:overflowPunct/>
        <w:topLinePunct w:val="0"/>
        <w:autoSpaceDE/>
        <w:autoSpaceDN/>
        <w:bidi w:val="0"/>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公司名称：</w:t>
      </w:r>
    </w:p>
    <w:p w14:paraId="2BA9BFB5">
      <w:pPr>
        <w:pageBreakBefore w:val="0"/>
        <w:widowControl w:val="0"/>
        <w:kinsoku/>
        <w:wordWrap/>
        <w:overflowPunct/>
        <w:topLinePunct w:val="0"/>
        <w:autoSpaceDE/>
        <w:autoSpaceDN/>
        <w:bidi w:val="0"/>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库伦旗致远投资开发服务有限公司</w:t>
      </w:r>
    </w:p>
    <w:p w14:paraId="2A2C5FE4">
      <w:pPr>
        <w:pageBreakBefore w:val="0"/>
        <w:widowControl w:val="0"/>
        <w:kinsoku/>
        <w:wordWrap/>
        <w:overflowPunct/>
        <w:topLinePunct w:val="0"/>
        <w:autoSpaceDE/>
        <w:autoSpaceDN/>
        <w:bidi w:val="0"/>
        <w:ind w:firstLine="562" w:firstLineChars="200"/>
        <w:textAlignment w:val="auto"/>
        <w:rPr>
          <w:rFonts w:hint="eastAsia" w:ascii="仿宋" w:hAnsi="仿宋" w:eastAsia="仿宋" w:cs="仿宋"/>
          <w:b/>
          <w:bCs/>
          <w:sz w:val="32"/>
          <w:szCs w:val="32"/>
        </w:rPr>
      </w:pPr>
      <w:r>
        <w:rPr>
          <w:rFonts w:hint="eastAsia" w:ascii="仿宋" w:hAnsi="仿宋" w:eastAsia="仿宋" w:cs="仿宋"/>
          <w:b/>
          <w:bCs/>
          <w:sz w:val="28"/>
          <w:szCs w:val="28"/>
        </w:rPr>
        <w:t>二、询价内容</w:t>
      </w:r>
      <w:r>
        <w:rPr>
          <w:rFonts w:hint="eastAsia" w:ascii="仿宋" w:hAnsi="仿宋" w:eastAsia="仿宋" w:cs="仿宋"/>
          <w:b/>
          <w:bCs/>
          <w:sz w:val="32"/>
          <w:szCs w:val="32"/>
        </w:rPr>
        <w:t>：</w:t>
      </w:r>
    </w:p>
    <w:p w14:paraId="1BD294EE">
      <w:pPr>
        <w:pageBreakBefore w:val="0"/>
        <w:widowControl w:val="0"/>
        <w:kinsoku/>
        <w:wordWrap/>
        <w:overflowPunct/>
        <w:topLinePunct w:val="0"/>
        <w:autoSpaceDE/>
        <w:autoSpaceDN/>
        <w:bidi w:val="0"/>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库伦旗致远投资开发服务有限公司2026年库伦旗1万千瓦光伏帮扶电站建设项目工程咨询服务及工程前期服务采购</w:t>
      </w:r>
      <w:r>
        <w:rPr>
          <w:rFonts w:hint="eastAsia" w:ascii="仿宋" w:hAnsi="仿宋" w:eastAsia="仿宋" w:cs="仿宋"/>
          <w:sz w:val="28"/>
          <w:szCs w:val="28"/>
          <w:lang w:eastAsia="zh-CN"/>
        </w:rPr>
        <w:t>：</w:t>
      </w:r>
    </w:p>
    <w:p w14:paraId="3CC95734">
      <w:pPr>
        <w:pageBreakBefore w:val="0"/>
        <w:widowControl w:val="0"/>
        <w:kinsoku/>
        <w:wordWrap/>
        <w:overflowPunct/>
        <w:topLinePunct w:val="0"/>
        <w:autoSpaceDE/>
        <w:autoSpaceDN/>
        <w:bidi w:val="0"/>
        <w:ind w:firstLine="560" w:firstLineChars="200"/>
        <w:textAlignment w:val="auto"/>
        <w:rPr>
          <w:rFonts w:hint="eastAsia" w:ascii="仿宋" w:hAnsi="仿宋" w:eastAsia="仿宋" w:cs="仿宋"/>
          <w:b/>
          <w:bCs/>
          <w:sz w:val="28"/>
          <w:szCs w:val="28"/>
        </w:rPr>
      </w:pPr>
      <w:r>
        <w:rPr>
          <w:rFonts w:hint="eastAsia" w:ascii="仿宋" w:hAnsi="仿宋" w:eastAsia="仿宋" w:cs="仿宋"/>
          <w:sz w:val="28"/>
          <w:szCs w:val="28"/>
        </w:rPr>
        <w:t>①社会稳定风险评价：开展现场调研、风险识别评估，编制社会稳定风险评价报告，组织专家评审、公示整改，报送主管部门审批；②建设工程文物保护和考古许可：开展现场文物踏勘排查，整理建设工程文物保护和考古许可全套报审资料，上报通辽市文物局，配合勘探核查及资料整改。交付：建设工程文物保护和考古许可全套报审资料及通辽市文物局考古勘探审查意见；③环境影响评价意见：开展环境现状分析、影响预测，编制环境影响评价报告，完成评审公示、修改完善，报审相应生态环境部门。交付：完整环境影响评价报告及官方环境影响评价报告批复文件；④生产建设项目水土保持方案审批：结合项目建设情况编制水土保持方案，组织专家评审优化，报审相应水利部门并完成公示整改。交付：生产建设项目水土保持方案文本图纸及官方生产建设项目水土保持方案批复文件。⑤取水许可：梳理项目取水需求，编制水资源论证及申报资料，对接相关水利、水务部门报审，配合现场核查及整改取证。交付：全套取水许可申报资料及库伦旗1万千瓦光伏帮扶电站建设项目正式取水许可证；⑥安全预评价评审意见：编制安全预评价报告，组织专家评审，出具专家评审意见。交付：安全预评价报告及专家评审意见；⑦职业卫生预评价：排查项目职业危害因素，开展卫生风险评估，编制职业卫生预评价报告，组织专家评审完善。交付：完整职业卫生预评价报告及专家评审意见；</w:t>
      </w:r>
    </w:p>
    <w:p w14:paraId="0BF59BB8">
      <w:pPr>
        <w:pageBreakBefore w:val="0"/>
        <w:widowControl w:val="0"/>
        <w:kinsoku/>
        <w:overflowPunct/>
        <w:topLinePunct w:val="0"/>
        <w:autoSpaceDE/>
        <w:autoSpaceDN/>
        <w:bidi w:val="0"/>
        <w:ind w:firstLine="562" w:firstLineChars="200"/>
        <w:textAlignment w:val="auto"/>
        <w:rPr>
          <w:rFonts w:hint="eastAsia"/>
        </w:rPr>
      </w:pPr>
      <w:r>
        <w:rPr>
          <w:rFonts w:hint="eastAsia" w:ascii="仿宋" w:hAnsi="仿宋" w:eastAsia="仿宋" w:cs="仿宋"/>
          <w:b/>
          <w:bCs/>
          <w:sz w:val="28"/>
          <w:szCs w:val="28"/>
        </w:rPr>
        <w:t>三、项目验收标准</w:t>
      </w:r>
      <w:r>
        <w:rPr>
          <w:rFonts w:hint="eastAsia"/>
        </w:rPr>
        <w:t>：</w:t>
      </w:r>
    </w:p>
    <w:p w14:paraId="442E13E7">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3.1 成果文件验收</w:t>
      </w:r>
    </w:p>
    <w:p w14:paraId="2A956ECA">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（1）检查各专项服务成果文件是否齐全，包括但不限于评价报告、方案文本、图纸、申报资料、专家评审意见等；</w:t>
      </w:r>
    </w:p>
    <w:p w14:paraId="70051DD9">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（2）核对各专项服务是否取得对应主管部门出具的正式批复文件、许可证书或审查意见；</w:t>
      </w:r>
    </w:p>
    <w:p w14:paraId="617809C0">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（3）审查所有批复文件是否为完全同意（即肯定性批准），是否存在附条件、部分同意或拒绝等情形；</w:t>
      </w:r>
    </w:p>
    <w:p w14:paraId="1BA4EB77">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（4）检查全部纸质成果资料是否整理成册，电子版成果是否完整移交。</w:t>
      </w:r>
    </w:p>
    <w:p w14:paraId="5850539D">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3.2 审批结果验收</w:t>
      </w:r>
    </w:p>
    <w:p w14:paraId="4AB2B534">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（1）社会稳定风险评价：须取得主管部门出具的完全同意批复文件（或备案意见）；</w:t>
      </w:r>
    </w:p>
    <w:p w14:paraId="3C36BA37">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（2）建设工程文物保护和考古许可：须取得通辽市文物局考古勘探审查意见；</w:t>
      </w:r>
    </w:p>
    <w:p w14:paraId="1BBC0CE4">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（3）环境影响评价意见：须取得官方环境影响评价报告批复文件；</w:t>
      </w:r>
    </w:p>
    <w:p w14:paraId="08EC75C0">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（4）生产建设项目水土保持方案审批：须取得官方生产建设项目水土保持方案批复文件；</w:t>
      </w:r>
    </w:p>
    <w:p w14:paraId="4EC36ED1">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（5）取水许可：须取得库伦旗1万千瓦光伏帮扶电站建设项目正式取水许可证；</w:t>
      </w:r>
    </w:p>
    <w:p w14:paraId="4DFE3B2C">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（6）安全预评价评审意见：须取得专家评审意见；</w:t>
      </w:r>
    </w:p>
    <w:p w14:paraId="07F2051C">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（7）职业卫生预评价：须取得专家评审意见。</w:t>
      </w:r>
    </w:p>
    <w:p w14:paraId="7F81A4FB">
      <w:pPr>
        <w:pageBreakBefore w:val="0"/>
        <w:widowControl w:val="0"/>
        <w:kinsoku/>
        <w:overflowPunct/>
        <w:topLinePunct w:val="0"/>
        <w:autoSpaceDE/>
        <w:autoSpaceDN/>
        <w:bidi w:val="0"/>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3.3 验收结论</w:t>
      </w:r>
    </w:p>
    <w:p w14:paraId="0D9F081A">
      <w:pPr>
        <w:keepNext w:val="0"/>
        <w:keepLines w:val="0"/>
        <w:pageBreakBefore w:val="0"/>
        <w:widowControl w:val="0"/>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所有成果文件齐全、全部取得主管部门完全同意批复或有效许可文件后，经采购人验收合格，方视为项目服务完成。若出现附条件、部分同意或拒绝等任何非完全同意情形，供应商须无条件免费整改并重新报审，直至取得完全同意批复，期间全部费用及延误责任由供应商承担。非因供应商原因导致无法取得完全同意批复的，按已完成工作量据实结算并解除合同。</w:t>
      </w:r>
    </w:p>
    <w:p w14:paraId="0EB857C9">
      <w:pPr>
        <w:pageBreakBefore w:val="0"/>
        <w:widowControl w:val="0"/>
        <w:kinsoku/>
        <w:overflowPunct/>
        <w:topLinePunct w:val="0"/>
        <w:autoSpaceDE/>
        <w:autoSpaceDN/>
        <w:bidi w:val="0"/>
        <w:adjustRightInd w:val="0"/>
        <w:snapToGrid w:val="0"/>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四、结算方式：</w:t>
      </w:r>
      <w:r>
        <w:rPr>
          <w:rFonts w:hint="eastAsia" w:ascii="仿宋" w:hAnsi="仿宋" w:eastAsia="仿宋" w:cs="仿宋"/>
          <w:sz w:val="28"/>
          <w:szCs w:val="28"/>
        </w:rPr>
        <w:t>本项目采用一次性付款方式，成交供应商完成全部专项服务工作，所有报告、方案全部出具完毕且全部取得对应主管部门批复、许可文件及有效评审意见，完整整理全部纸质、电子成果资料并完成全部文件移交给采购人，经采购人验收合格后，一次性支付全部合同款项。</w:t>
      </w:r>
    </w:p>
    <w:p w14:paraId="510C7330">
      <w:pPr>
        <w:pageBreakBefore w:val="0"/>
        <w:widowControl w:val="0"/>
        <w:kinsoku/>
        <w:overflowPunct/>
        <w:topLinePunct w:val="0"/>
        <w:autoSpaceDE/>
        <w:autoSpaceDN/>
        <w:bidi w:val="0"/>
        <w:adjustRightInd w:val="0"/>
        <w:snapToGrid w:val="0"/>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五、服务地点：</w:t>
      </w:r>
      <w:r>
        <w:rPr>
          <w:rFonts w:hint="eastAsia" w:ascii="仿宋" w:hAnsi="仿宋" w:eastAsia="仿宋" w:cs="仿宋"/>
          <w:sz w:val="28"/>
          <w:szCs w:val="28"/>
        </w:rPr>
        <w:t>内蒙古自治区通辽市库伦旗。</w:t>
      </w:r>
    </w:p>
    <w:p w14:paraId="65ABE8FA">
      <w:pPr>
        <w:pageBreakBefore w:val="0"/>
        <w:widowControl w:val="0"/>
        <w:kinsoku/>
        <w:overflowPunct/>
        <w:topLinePunct w:val="0"/>
        <w:autoSpaceDE/>
        <w:autoSpaceDN/>
        <w:bidi w:val="0"/>
        <w:adjustRightInd w:val="0"/>
        <w:snapToGrid w:val="0"/>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六、服务期</w:t>
      </w:r>
      <w:r>
        <w:rPr>
          <w:rFonts w:hint="eastAsia" w:ascii="仿宋" w:hAnsi="仿宋" w:eastAsia="仿宋" w:cs="仿宋"/>
          <w:sz w:val="28"/>
          <w:szCs w:val="28"/>
        </w:rPr>
        <w:t>：自合同签订之日起20个日历日内完</w:t>
      </w:r>
      <w:r>
        <w:rPr>
          <w:rFonts w:hint="eastAsia" w:ascii="仿宋" w:hAnsi="仿宋" w:eastAsia="仿宋" w:cs="仿宋"/>
          <w:sz w:val="28"/>
          <w:szCs w:val="28"/>
          <w:lang w:val="en-US" w:eastAsia="zh-CN"/>
        </w:rPr>
        <w:t>成</w:t>
      </w:r>
      <w:r>
        <w:rPr>
          <w:rFonts w:hint="eastAsia" w:ascii="仿宋" w:hAnsi="仿宋" w:eastAsia="仿宋" w:cs="仿宋"/>
          <w:sz w:val="28"/>
          <w:szCs w:val="28"/>
        </w:rPr>
        <w:t>。</w:t>
      </w:r>
    </w:p>
    <w:p w14:paraId="0F15B848">
      <w:pPr>
        <w:pageBreakBefore w:val="0"/>
        <w:widowControl w:val="0"/>
        <w:kinsoku/>
        <w:overflowPunct/>
        <w:topLinePunct w:val="0"/>
        <w:autoSpaceDE/>
        <w:autoSpaceDN/>
        <w:bidi w:val="0"/>
        <w:adjustRightInd w:val="0"/>
        <w:snapToGrid w:val="0"/>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七、质保期</w:t>
      </w:r>
      <w:r>
        <w:rPr>
          <w:rFonts w:hint="eastAsia" w:ascii="仿宋" w:hAnsi="仿宋" w:eastAsia="仿宋" w:cs="仿宋"/>
          <w:sz w:val="28"/>
          <w:szCs w:val="28"/>
        </w:rPr>
        <w:t>：成果文件提交后，供应商应配合采购人完成后续主管部门可能的补充审查和问询，质保期自全部成果验收合格之日起6个月。</w:t>
      </w:r>
    </w:p>
    <w:p w14:paraId="212B003E">
      <w:pPr>
        <w:pageBreakBefore w:val="0"/>
        <w:widowControl w:val="0"/>
        <w:kinsoku/>
        <w:overflowPunct/>
        <w:topLinePunct w:val="0"/>
        <w:autoSpaceDE/>
        <w:autoSpaceDN/>
        <w:bidi w:val="0"/>
        <w:adjustRightInd w:val="0"/>
        <w:snapToGrid w:val="0"/>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八、质保金</w:t>
      </w:r>
      <w:r>
        <w:rPr>
          <w:rFonts w:hint="eastAsia" w:ascii="仿宋" w:hAnsi="仿宋" w:eastAsia="仿宋" w:cs="仿宋"/>
          <w:sz w:val="28"/>
          <w:szCs w:val="28"/>
        </w:rPr>
        <w:t>（履约保证金）金额及退还时间：履约保证金为合同金额的10%，由成交供应商在合同签订前向采购人交纳，服务完成且无质量问题后无息退还。</w:t>
      </w:r>
    </w:p>
    <w:p w14:paraId="02107A31">
      <w:pPr>
        <w:pageBreakBefore w:val="0"/>
        <w:widowControl w:val="0"/>
        <w:kinsoku/>
        <w:overflowPunct/>
        <w:topLinePunct w:val="0"/>
        <w:autoSpaceDE/>
        <w:autoSpaceDN/>
        <w:bidi w:val="0"/>
        <w:adjustRightInd w:val="0"/>
        <w:snapToGrid w:val="0"/>
        <w:ind w:firstLine="560" w:firstLineChars="200"/>
        <w:textAlignment w:val="auto"/>
        <w:rPr>
          <w:rFonts w:hint="eastAsia" w:ascii="仿宋" w:hAnsi="仿宋" w:eastAsia="仿宋" w:cs="仿宋"/>
          <w:sz w:val="28"/>
          <w:szCs w:val="28"/>
        </w:rPr>
      </w:pPr>
      <w:bookmarkStart w:id="0" w:name="_GoBack"/>
      <w:bookmarkEnd w:id="0"/>
    </w:p>
    <w:p w14:paraId="6799B317">
      <w:pPr>
        <w:pageBreakBefore w:val="0"/>
        <w:widowControl w:val="0"/>
        <w:kinsoku/>
        <w:overflowPunct/>
        <w:topLinePunct w:val="0"/>
        <w:autoSpaceDE/>
        <w:autoSpaceDN/>
        <w:bidi w:val="0"/>
        <w:ind w:firstLine="640" w:firstLineChars="200"/>
        <w:textAlignment w:val="auto"/>
        <w:rPr>
          <w:rFonts w:hint="eastAsia" w:ascii="仿宋" w:hAnsi="仿宋" w:eastAsia="仿宋" w:cs="仿宋"/>
          <w:sz w:val="32"/>
          <w:szCs w:val="32"/>
        </w:rPr>
      </w:pPr>
    </w:p>
    <w:p w14:paraId="4DE6164C">
      <w:pPr>
        <w:pageBreakBefore w:val="0"/>
        <w:widowControl w:val="0"/>
        <w:kinsoku/>
        <w:overflowPunct/>
        <w:topLinePunct w:val="0"/>
        <w:autoSpaceDE/>
        <w:autoSpaceDN/>
        <w:bidi w:val="0"/>
        <w:ind w:firstLine="640" w:firstLineChars="200"/>
        <w:textAlignment w:val="auto"/>
        <w:rPr>
          <w:rFonts w:hint="eastAsia" w:ascii="仿宋" w:hAnsi="仿宋" w:eastAsia="仿宋" w:cs="仿宋"/>
          <w:sz w:val="32"/>
          <w:szCs w:val="32"/>
        </w:rPr>
      </w:pPr>
    </w:p>
    <w:p w14:paraId="6228E7D1">
      <w:pPr>
        <w:pageBreakBefore w:val="0"/>
        <w:widowControl w:val="0"/>
        <w:kinsoku/>
        <w:overflowPunct/>
        <w:topLinePunct w:val="0"/>
        <w:autoSpaceDE/>
        <w:autoSpaceDN/>
        <w:bidi w:val="0"/>
        <w:ind w:firstLine="640" w:firstLineChars="200"/>
        <w:jc w:val="right"/>
        <w:textAlignment w:val="auto"/>
        <w:rPr>
          <w:rFonts w:hint="eastAsia"/>
        </w:rPr>
      </w:pPr>
      <w:r>
        <w:rPr>
          <w:rFonts w:hint="eastAsia" w:ascii="仿宋" w:hAnsi="仿宋" w:eastAsia="仿宋" w:cs="仿宋"/>
          <w:sz w:val="32"/>
          <w:szCs w:val="32"/>
        </w:rPr>
        <w:t>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p>
    <w:sectPr>
      <w:headerReference r:id="rId5" w:type="default"/>
      <w:footerReference r:id="rId6" w:type="default"/>
      <w:pgSz w:w="11906" w:h="16838"/>
      <w:pgMar w:top="720" w:right="1440" w:bottom="518"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1B2E6">
    <w:pPr>
      <w:pStyle w:val="3"/>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7C495B">
                          <w:pPr>
                            <w:ind w:firstLine="48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037C495B">
                    <w:pPr>
                      <w:ind w:firstLine="480"/>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F851">
    <w:pPr>
      <w:pStyle w:val="4"/>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6F6D8"/>
    <w:multiLevelType w:val="singleLevel"/>
    <w:tmpl w:val="F696F6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FF"/>
    <w:rsid w:val="00060169"/>
    <w:rsid w:val="001249EE"/>
    <w:rsid w:val="0018128A"/>
    <w:rsid w:val="002A0955"/>
    <w:rsid w:val="002D0CD0"/>
    <w:rsid w:val="00382CDF"/>
    <w:rsid w:val="00393792"/>
    <w:rsid w:val="00775BE2"/>
    <w:rsid w:val="008A27E3"/>
    <w:rsid w:val="00925888"/>
    <w:rsid w:val="00962C97"/>
    <w:rsid w:val="00A44422"/>
    <w:rsid w:val="00A50C48"/>
    <w:rsid w:val="00B566DC"/>
    <w:rsid w:val="00C642FF"/>
    <w:rsid w:val="00C810A4"/>
    <w:rsid w:val="00D3374A"/>
    <w:rsid w:val="00F80A7F"/>
    <w:rsid w:val="00FB4790"/>
    <w:rsid w:val="090515DA"/>
    <w:rsid w:val="0B4815DD"/>
    <w:rsid w:val="20C254E8"/>
    <w:rsid w:val="2CC32281"/>
    <w:rsid w:val="38C367EB"/>
    <w:rsid w:val="40517EC0"/>
    <w:rsid w:val="45CC759A"/>
    <w:rsid w:val="49DF4A6F"/>
    <w:rsid w:val="6EE034C1"/>
    <w:rsid w:val="70156506"/>
    <w:rsid w:val="7E195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spacing w:line="360" w:lineRule="auto"/>
      <w:ind w:firstLine="400" w:firstLineChars="200"/>
      <w:jc w:val="both"/>
    </w:pPr>
    <w:rPr>
      <w:rFonts w:ascii="宋体" w:hAnsi="宋体" w:eastAsia="宋体" w:cs="宋体"/>
      <w:kern w:val="2"/>
      <w:sz w:val="24"/>
      <w:szCs w:val="22"/>
      <w:lang w:val="en-US" w:eastAsia="zh-CN" w:bidi="ar-SA"/>
    </w:rPr>
  </w:style>
  <w:style w:type="paragraph" w:styleId="2">
    <w:name w:val="heading 1"/>
    <w:basedOn w:val="1"/>
    <w:next w:val="1"/>
    <w:qFormat/>
    <w:uiPriority w:val="0"/>
    <w:pPr>
      <w:ind w:firstLine="0" w:firstLineChars="0"/>
      <w:jc w:val="center"/>
      <w:outlineLvl w:val="0"/>
    </w:pPr>
    <w:rPr>
      <w:rFonts w:ascii="Microsoft JhengHei" w:hAnsi="Microsoft JhengHei" w:cs="Microsoft JhengHei"/>
      <w:b/>
      <w:bCs/>
      <w:sz w:val="32"/>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1583</Words>
  <Characters>1601</Characters>
  <Lines>5</Lines>
  <Paragraphs>1</Paragraphs>
  <TotalTime>26</TotalTime>
  <ScaleCrop>false</ScaleCrop>
  <LinksUpToDate>false</LinksUpToDate>
  <CharactersWithSpaces>1606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2026-04-10T01:39:00Z</dcterms:created>
  <dc:creator>Administrator</dc:creator>
  <cp:lastModifiedBy>含</cp:lastModifiedBy>
  <cp:lastPrinted>2026-04-10T01:59:00Z</cp:lastPrinted>
  <dcterms:modified xsi:type="dcterms:W3CDTF">2026-08-25T03:34:12Z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eyJoZGlkIjoiYjk3YzdkOWEwZjJkM2JjNDI2ZGY4M2E4MzI4MDNiZDYiLCJ1c2VySWQiOiIzMTUzNzE3NTMifQ==</vt:lpwstr>
  </property>
  <property fmtid="{D5CDD505-2E9C-101B-9397-08002B2CF9AE}" pid="4" name="ICV">
    <vt:lpwstr>700E005632134B24B390B5C8901DEC3C_13</vt:lpwstr>
  </property>
</Properties>
</file>