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C43F5B">
      <w:pPr>
        <w:widowControl/>
        <w:wordWrap w:val="0"/>
        <w:adjustRightInd w:val="0"/>
        <w:snapToGrid w:val="0"/>
        <w:jc w:val="center"/>
        <w:rPr>
          <w:rFonts w:hint="eastAsia" w:ascii="华文中宋" w:hAnsi="华文中宋" w:eastAsia="华文中宋"/>
          <w:b/>
          <w:color w:val="000000"/>
          <w:kern w:val="0"/>
          <w:sz w:val="52"/>
          <w:szCs w:val="52"/>
          <w:highlight w:val="none"/>
          <w:lang w:val="en-US" w:eastAsia="zh-CN"/>
        </w:rPr>
      </w:pPr>
    </w:p>
    <w:p w14:paraId="71045ADA">
      <w:pPr>
        <w:widowControl/>
        <w:wordWrap w:val="0"/>
        <w:adjustRightInd w:val="0"/>
        <w:snapToGrid w:val="0"/>
        <w:jc w:val="center"/>
        <w:rPr>
          <w:rFonts w:hint="eastAsia" w:ascii="华文中宋" w:hAnsi="华文中宋" w:eastAsia="华文中宋"/>
          <w:b/>
          <w:color w:val="000000"/>
          <w:kern w:val="0"/>
          <w:sz w:val="52"/>
          <w:szCs w:val="52"/>
          <w:highlight w:val="none"/>
          <w:lang w:val="en-US" w:eastAsia="zh-CN"/>
        </w:rPr>
      </w:pPr>
    </w:p>
    <w:p w14:paraId="27D91138">
      <w:pPr>
        <w:widowControl/>
        <w:wordWrap w:val="0"/>
        <w:adjustRightInd w:val="0"/>
        <w:snapToGrid w:val="0"/>
        <w:jc w:val="center"/>
        <w:rPr>
          <w:rFonts w:hint="default" w:ascii="华文中宋" w:hAnsi="华文中宋" w:eastAsia="华文中宋"/>
          <w:b/>
          <w:color w:val="000000"/>
          <w:kern w:val="0"/>
          <w:sz w:val="52"/>
          <w:szCs w:val="52"/>
          <w:highlight w:val="none"/>
          <w:lang w:val="en-US" w:eastAsia="zh-CN"/>
        </w:rPr>
      </w:pPr>
      <w:r>
        <w:rPr>
          <w:rFonts w:hint="eastAsia" w:ascii="华文中宋" w:hAnsi="华文中宋" w:eastAsia="华文中宋"/>
          <w:b/>
          <w:color w:val="000000"/>
          <w:kern w:val="0"/>
          <w:sz w:val="52"/>
          <w:szCs w:val="52"/>
          <w:highlight w:val="none"/>
          <w:lang w:val="en-US" w:eastAsia="zh-CN"/>
        </w:rPr>
        <w:t>内蒙古智慧运维新能源有限公司显示器及网络设备</w:t>
      </w:r>
      <w:r>
        <w:rPr>
          <w:rFonts w:hint="eastAsia" w:ascii="华文中宋" w:hAnsi="华文中宋" w:eastAsia="华文中宋"/>
          <w:b/>
          <w:color w:val="000000"/>
          <w:kern w:val="0"/>
          <w:sz w:val="52"/>
          <w:szCs w:val="52"/>
          <w:highlight w:val="none"/>
        </w:rPr>
        <w:t>采购合同</w:t>
      </w:r>
      <w:r>
        <w:rPr>
          <w:rFonts w:hint="eastAsia" w:ascii="华文中宋" w:hAnsi="华文中宋" w:eastAsia="华文中宋"/>
          <w:b/>
          <w:color w:val="000000"/>
          <w:kern w:val="0"/>
          <w:sz w:val="52"/>
          <w:szCs w:val="52"/>
          <w:highlight w:val="none"/>
          <w:lang w:val="en-US" w:eastAsia="zh-CN"/>
        </w:rPr>
        <w:t>(模板)</w:t>
      </w:r>
    </w:p>
    <w:p w14:paraId="10ADEF23">
      <w:pPr>
        <w:wordWrap w:val="0"/>
        <w:snapToGrid w:val="0"/>
        <w:spacing w:line="480" w:lineRule="exact"/>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 xml:space="preserve"> </w:t>
      </w:r>
    </w:p>
    <w:p w14:paraId="46F00B46">
      <w:pPr>
        <w:wordWrap w:val="0"/>
        <w:snapToGrid w:val="0"/>
        <w:spacing w:line="480" w:lineRule="exact"/>
        <w:jc w:val="center"/>
        <w:rPr>
          <w:rFonts w:hint="eastAsia" w:ascii="仿宋" w:hAnsi="仿宋" w:eastAsia="仿宋"/>
          <w:b/>
          <w:color w:val="000000"/>
          <w:kern w:val="0"/>
          <w:sz w:val="28"/>
          <w:szCs w:val="28"/>
          <w:highlight w:val="none"/>
        </w:rPr>
      </w:pPr>
    </w:p>
    <w:p w14:paraId="48A00C64">
      <w:pPr>
        <w:wordWrap w:val="0"/>
        <w:snapToGrid w:val="0"/>
        <w:spacing w:line="480" w:lineRule="exact"/>
        <w:jc w:val="center"/>
        <w:rPr>
          <w:rFonts w:hint="eastAsia" w:ascii="仿宋" w:hAnsi="仿宋" w:eastAsia="仿宋"/>
          <w:b/>
          <w:color w:val="000000"/>
          <w:kern w:val="0"/>
          <w:sz w:val="28"/>
          <w:szCs w:val="28"/>
          <w:highlight w:val="none"/>
        </w:rPr>
      </w:pPr>
    </w:p>
    <w:p w14:paraId="4DE2F0CB">
      <w:pPr>
        <w:wordWrap w:val="0"/>
        <w:snapToGrid w:val="0"/>
        <w:spacing w:line="480" w:lineRule="exact"/>
        <w:jc w:val="center"/>
        <w:rPr>
          <w:rFonts w:hint="eastAsia" w:ascii="仿宋" w:hAnsi="仿宋" w:eastAsia="仿宋"/>
          <w:b/>
          <w:color w:val="000000"/>
          <w:kern w:val="0"/>
          <w:sz w:val="28"/>
          <w:szCs w:val="28"/>
          <w:highlight w:val="none"/>
        </w:rPr>
      </w:pPr>
    </w:p>
    <w:p w14:paraId="485AB1F5">
      <w:pPr>
        <w:wordWrap w:val="0"/>
        <w:snapToGrid w:val="0"/>
        <w:spacing w:line="480" w:lineRule="exact"/>
        <w:jc w:val="center"/>
        <w:rPr>
          <w:rFonts w:hint="eastAsia" w:ascii="仿宋" w:hAnsi="仿宋" w:eastAsia="仿宋"/>
          <w:b/>
          <w:color w:val="000000"/>
          <w:kern w:val="0"/>
          <w:sz w:val="28"/>
          <w:szCs w:val="28"/>
          <w:highlight w:val="none"/>
        </w:rPr>
      </w:pPr>
    </w:p>
    <w:p w14:paraId="4A6BDC51">
      <w:pPr>
        <w:wordWrap w:val="0"/>
        <w:snapToGrid w:val="0"/>
        <w:spacing w:line="480" w:lineRule="exact"/>
        <w:jc w:val="center"/>
        <w:rPr>
          <w:rFonts w:hint="eastAsia" w:ascii="仿宋" w:hAnsi="仿宋" w:eastAsia="仿宋"/>
          <w:b/>
          <w:color w:val="000000"/>
          <w:kern w:val="0"/>
          <w:sz w:val="28"/>
          <w:szCs w:val="28"/>
          <w:highlight w:val="none"/>
        </w:rPr>
      </w:pPr>
    </w:p>
    <w:p w14:paraId="6CE6F8F4">
      <w:pPr>
        <w:wordWrap w:val="0"/>
        <w:snapToGrid w:val="0"/>
        <w:spacing w:line="480" w:lineRule="exact"/>
        <w:jc w:val="center"/>
        <w:rPr>
          <w:rFonts w:hint="eastAsia" w:ascii="仿宋" w:hAnsi="仿宋" w:eastAsia="仿宋"/>
          <w:b/>
          <w:color w:val="000000"/>
          <w:kern w:val="0"/>
          <w:sz w:val="28"/>
          <w:szCs w:val="28"/>
          <w:highlight w:val="none"/>
        </w:rPr>
      </w:pPr>
    </w:p>
    <w:p w14:paraId="601DAF3C">
      <w:pPr>
        <w:wordWrap w:val="0"/>
        <w:snapToGrid w:val="0"/>
        <w:spacing w:line="480" w:lineRule="exact"/>
        <w:jc w:val="center"/>
        <w:rPr>
          <w:rFonts w:hint="eastAsia" w:ascii="仿宋" w:hAnsi="仿宋" w:eastAsia="仿宋"/>
          <w:b/>
          <w:color w:val="000000"/>
          <w:kern w:val="0"/>
          <w:sz w:val="28"/>
          <w:szCs w:val="28"/>
          <w:highlight w:val="none"/>
        </w:rPr>
      </w:pPr>
    </w:p>
    <w:p w14:paraId="611D7A05">
      <w:pPr>
        <w:wordWrap w:val="0"/>
        <w:snapToGrid w:val="0"/>
        <w:spacing w:line="480" w:lineRule="exact"/>
        <w:jc w:val="center"/>
        <w:rPr>
          <w:rFonts w:hint="eastAsia" w:ascii="仿宋" w:hAnsi="仿宋" w:eastAsia="仿宋"/>
          <w:b/>
          <w:color w:val="000000"/>
          <w:kern w:val="0"/>
          <w:sz w:val="28"/>
          <w:szCs w:val="28"/>
          <w:highlight w:val="none"/>
        </w:rPr>
      </w:pPr>
    </w:p>
    <w:p w14:paraId="25067513">
      <w:pPr>
        <w:pStyle w:val="2"/>
        <w:rPr>
          <w:rFonts w:hint="eastAsia" w:ascii="仿宋" w:hAnsi="仿宋" w:eastAsia="仿宋"/>
          <w:b/>
          <w:color w:val="000000"/>
          <w:kern w:val="0"/>
          <w:sz w:val="28"/>
          <w:szCs w:val="28"/>
          <w:highlight w:val="none"/>
        </w:rPr>
      </w:pPr>
    </w:p>
    <w:p w14:paraId="2DCF9DA5">
      <w:pPr>
        <w:pStyle w:val="2"/>
        <w:rPr>
          <w:rFonts w:hint="eastAsia" w:ascii="仿宋" w:hAnsi="仿宋" w:eastAsia="仿宋"/>
          <w:b/>
          <w:color w:val="000000"/>
          <w:kern w:val="0"/>
          <w:sz w:val="28"/>
          <w:szCs w:val="28"/>
          <w:highlight w:val="none"/>
        </w:rPr>
      </w:pPr>
    </w:p>
    <w:p w14:paraId="6AB9792D">
      <w:pPr>
        <w:pStyle w:val="2"/>
        <w:rPr>
          <w:rFonts w:hint="eastAsia" w:ascii="仿宋" w:hAnsi="仿宋" w:eastAsia="仿宋"/>
          <w:b/>
          <w:color w:val="000000"/>
          <w:kern w:val="0"/>
          <w:sz w:val="28"/>
          <w:szCs w:val="28"/>
          <w:highlight w:val="none"/>
        </w:rPr>
      </w:pPr>
    </w:p>
    <w:p w14:paraId="06FD6E0E">
      <w:pPr>
        <w:wordWrap w:val="0"/>
        <w:snapToGrid w:val="0"/>
        <w:spacing w:line="480" w:lineRule="exact"/>
        <w:jc w:val="center"/>
        <w:rPr>
          <w:rFonts w:hint="eastAsia" w:ascii="仿宋" w:hAnsi="仿宋" w:eastAsia="仿宋"/>
          <w:b/>
          <w:color w:val="000000"/>
          <w:kern w:val="0"/>
          <w:sz w:val="28"/>
          <w:szCs w:val="28"/>
          <w:highlight w:val="none"/>
        </w:rPr>
      </w:pPr>
    </w:p>
    <w:p w14:paraId="2C4CA7CC">
      <w:pPr>
        <w:wordWrap w:val="0"/>
        <w:snapToGrid w:val="0"/>
        <w:spacing w:line="480" w:lineRule="exact"/>
        <w:jc w:val="center"/>
        <w:rPr>
          <w:rFonts w:hint="eastAsia" w:ascii="仿宋" w:hAnsi="仿宋" w:eastAsia="仿宋"/>
          <w:b/>
          <w:color w:val="000000"/>
          <w:kern w:val="0"/>
          <w:sz w:val="28"/>
          <w:szCs w:val="28"/>
          <w:highlight w:val="none"/>
        </w:rPr>
      </w:pPr>
    </w:p>
    <w:p w14:paraId="7ABB4EDB">
      <w:pPr>
        <w:wordWrap w:val="0"/>
        <w:snapToGrid w:val="0"/>
        <w:spacing w:line="480" w:lineRule="exact"/>
        <w:jc w:val="center"/>
        <w:rPr>
          <w:rFonts w:hint="eastAsia" w:ascii="仿宋" w:hAnsi="仿宋" w:eastAsia="仿宋"/>
          <w:b/>
          <w:color w:val="000000"/>
          <w:kern w:val="0"/>
          <w:sz w:val="28"/>
          <w:szCs w:val="28"/>
          <w:highlight w:val="none"/>
        </w:rPr>
      </w:pPr>
    </w:p>
    <w:p w14:paraId="7A79E746">
      <w:pPr>
        <w:widowControl/>
        <w:wordWrap w:val="0"/>
        <w:adjustRightInd w:val="0"/>
        <w:snapToGrid w:val="0"/>
        <w:spacing w:line="720" w:lineRule="exact"/>
        <w:ind w:firstLine="641" w:firstLineChars="200"/>
        <w:rPr>
          <w:rFonts w:hint="eastAsia" w:ascii="华文中宋" w:hAnsi="华文中宋" w:eastAsia="华文中宋"/>
          <w:b/>
          <w:color w:val="000000"/>
          <w:kern w:val="0"/>
          <w:sz w:val="32"/>
          <w:szCs w:val="32"/>
          <w:highlight w:val="none"/>
        </w:rPr>
      </w:pPr>
      <w:r>
        <w:rPr>
          <w:rFonts w:hint="eastAsia" w:ascii="华文中宋" w:hAnsi="华文中宋" w:eastAsia="华文中宋"/>
          <w:b/>
          <w:color w:val="000000"/>
          <w:kern w:val="0"/>
          <w:sz w:val="32"/>
          <w:szCs w:val="32"/>
          <w:highlight w:val="none"/>
        </w:rPr>
        <w:t>合同编号（买方）：</w:t>
      </w:r>
    </w:p>
    <w:p w14:paraId="195F2D00">
      <w:pPr>
        <w:keepNext w:val="0"/>
        <w:keepLines w:val="0"/>
        <w:widowControl/>
        <w:suppressLineNumbers w:val="0"/>
        <w:ind w:firstLine="641" w:firstLineChars="200"/>
        <w:jc w:val="left"/>
        <w:rPr>
          <w:rFonts w:hint="eastAsia" w:ascii="华文中宋" w:hAnsi="华文中宋" w:eastAsia="华文中宋"/>
          <w:b/>
          <w:color w:val="000000"/>
          <w:kern w:val="0"/>
          <w:sz w:val="32"/>
          <w:szCs w:val="32"/>
          <w:highlight w:val="none"/>
        </w:rPr>
      </w:pPr>
      <w:r>
        <w:rPr>
          <w:rFonts w:hint="eastAsia" w:ascii="华文中宋" w:hAnsi="华文中宋" w:eastAsia="华文中宋"/>
          <w:b/>
          <w:color w:val="000000"/>
          <w:kern w:val="0"/>
          <w:sz w:val="32"/>
          <w:szCs w:val="32"/>
          <w:highlight w:val="none"/>
        </w:rPr>
        <w:t>买    方：</w:t>
      </w:r>
      <w:r>
        <w:rPr>
          <w:rFonts w:hint="eastAsia" w:ascii="华文中宋" w:hAnsi="华文中宋" w:eastAsia="华文中宋"/>
          <w:b/>
          <w:color w:val="000000"/>
          <w:kern w:val="0"/>
          <w:sz w:val="32"/>
          <w:szCs w:val="32"/>
          <w:highlight w:val="none"/>
          <w:lang w:val="en-US" w:eastAsia="zh-CN"/>
        </w:rPr>
        <w:t>内蒙古智慧运维新能源有限公司</w:t>
      </w:r>
    </w:p>
    <w:p w14:paraId="20B6917C">
      <w:pPr>
        <w:keepNext w:val="0"/>
        <w:keepLines w:val="0"/>
        <w:widowControl/>
        <w:suppressLineNumbers w:val="0"/>
        <w:ind w:firstLine="641" w:firstLineChars="200"/>
        <w:jc w:val="left"/>
        <w:rPr>
          <w:rFonts w:hint="default" w:ascii="华文中宋" w:hAnsi="华文中宋" w:eastAsia="华文中宋"/>
          <w:b/>
          <w:color w:val="000000"/>
          <w:kern w:val="0"/>
          <w:sz w:val="32"/>
          <w:szCs w:val="32"/>
          <w:highlight w:val="none"/>
          <w:lang w:val="en-US" w:eastAsia="zh-CN"/>
        </w:rPr>
      </w:pPr>
      <w:r>
        <w:rPr>
          <w:rFonts w:hint="eastAsia" w:ascii="华文中宋" w:hAnsi="华文中宋" w:eastAsia="华文中宋"/>
          <w:b/>
          <w:color w:val="000000"/>
          <w:kern w:val="0"/>
          <w:sz w:val="32"/>
          <w:szCs w:val="32"/>
          <w:highlight w:val="none"/>
        </w:rPr>
        <w:t>卖    方：</w:t>
      </w:r>
      <w:r>
        <w:rPr>
          <w:rFonts w:hint="eastAsia" w:ascii="华文中宋" w:hAnsi="华文中宋" w:eastAsia="华文中宋"/>
          <w:b/>
          <w:color w:val="000000"/>
          <w:kern w:val="0"/>
          <w:sz w:val="32"/>
          <w:szCs w:val="32"/>
          <w:highlight w:val="none"/>
          <w:lang w:val="en-US" w:eastAsia="zh-CN"/>
        </w:rPr>
        <w:t>*********</w:t>
      </w:r>
    </w:p>
    <w:p w14:paraId="03F530BA">
      <w:pPr>
        <w:widowControl/>
        <w:wordWrap w:val="0"/>
        <w:adjustRightInd w:val="0"/>
        <w:snapToGrid w:val="0"/>
        <w:spacing w:line="720" w:lineRule="exact"/>
        <w:ind w:firstLine="641" w:firstLineChars="200"/>
        <w:rPr>
          <w:rFonts w:hint="eastAsia" w:ascii="华文中宋" w:hAnsi="华文中宋" w:eastAsia="华文中宋"/>
          <w:b/>
          <w:color w:val="000000"/>
          <w:kern w:val="0"/>
          <w:sz w:val="32"/>
          <w:szCs w:val="32"/>
          <w:highlight w:val="none"/>
        </w:rPr>
      </w:pPr>
      <w:r>
        <w:rPr>
          <w:rFonts w:hint="eastAsia" w:ascii="华文中宋" w:hAnsi="华文中宋" w:eastAsia="华文中宋"/>
          <w:b/>
          <w:color w:val="000000"/>
          <w:kern w:val="0"/>
          <w:sz w:val="32"/>
          <w:szCs w:val="32"/>
          <w:highlight w:val="none"/>
        </w:rPr>
        <w:t xml:space="preserve">签订日期： </w:t>
      </w:r>
      <w:r>
        <w:rPr>
          <w:rFonts w:hint="eastAsia" w:ascii="华文中宋" w:hAnsi="华文中宋" w:eastAsia="华文中宋"/>
          <w:b/>
          <w:color w:val="000000"/>
          <w:kern w:val="0"/>
          <w:sz w:val="32"/>
          <w:szCs w:val="32"/>
          <w:highlight w:val="none"/>
          <w:lang w:val="en-US" w:eastAsia="zh-CN"/>
        </w:rPr>
        <w:t>2026年   月</w:t>
      </w:r>
    </w:p>
    <w:p w14:paraId="7FA7A26D">
      <w:pPr>
        <w:widowControl/>
        <w:wordWrap w:val="0"/>
        <w:adjustRightInd w:val="0"/>
        <w:snapToGrid w:val="0"/>
        <w:spacing w:line="720" w:lineRule="exact"/>
        <w:ind w:firstLine="641" w:firstLineChars="200"/>
        <w:rPr>
          <w:rFonts w:hint="eastAsia" w:ascii="华文中宋" w:hAnsi="华文中宋" w:eastAsia="华文中宋"/>
          <w:b/>
          <w:color w:val="000000"/>
          <w:kern w:val="0"/>
          <w:sz w:val="32"/>
          <w:szCs w:val="32"/>
          <w:highlight w:val="none"/>
        </w:rPr>
      </w:pPr>
      <w:r>
        <w:rPr>
          <w:rFonts w:hint="eastAsia" w:ascii="华文中宋" w:hAnsi="华文中宋" w:eastAsia="华文中宋"/>
          <w:b/>
          <w:color w:val="000000"/>
          <w:kern w:val="0"/>
          <w:sz w:val="32"/>
          <w:szCs w:val="32"/>
          <w:highlight w:val="none"/>
        </w:rPr>
        <w:t xml:space="preserve">签订地点： </w:t>
      </w:r>
      <w:r>
        <w:rPr>
          <w:rFonts w:hint="eastAsia" w:ascii="华文中宋" w:hAnsi="华文中宋" w:eastAsia="华文中宋"/>
          <w:b/>
          <w:color w:val="000000"/>
          <w:kern w:val="0"/>
          <w:sz w:val="32"/>
          <w:szCs w:val="32"/>
          <w:highlight w:val="none"/>
          <w:lang w:val="en-US" w:eastAsia="zh-CN"/>
        </w:rPr>
        <w:t>呼和浩特市赛罕区</w:t>
      </w:r>
    </w:p>
    <w:p w14:paraId="3A47F467">
      <w:pPr>
        <w:snapToGrid w:val="0"/>
        <w:spacing w:line="480" w:lineRule="exact"/>
        <w:ind w:firstLine="641" w:firstLineChars="200"/>
        <w:rPr>
          <w:rFonts w:hint="eastAsia" w:ascii="仿宋" w:hAnsi="仿宋" w:eastAsia="仿宋"/>
          <w:color w:val="000000"/>
          <w:sz w:val="28"/>
          <w:szCs w:val="28"/>
          <w:highlight w:val="none"/>
        </w:rPr>
      </w:pPr>
      <w:r>
        <w:rPr>
          <w:rFonts w:ascii="华文中宋" w:hAnsi="华文中宋" w:eastAsia="华文中宋"/>
          <w:b/>
          <w:color w:val="000000"/>
          <w:kern w:val="0"/>
          <w:sz w:val="32"/>
          <w:szCs w:val="32"/>
          <w:highlight w:val="none"/>
        </w:rPr>
        <w:br w:type="page"/>
      </w:r>
    </w:p>
    <w:sdt>
      <w:sdtPr>
        <w:rPr>
          <w:rFonts w:ascii="宋体" w:hAnsi="宋体" w:eastAsia="宋体" w:cs="Times New Roman"/>
          <w:kern w:val="2"/>
          <w:sz w:val="21"/>
          <w:lang w:val="en-US" w:eastAsia="zh-CN" w:bidi="ar-SA"/>
        </w:rPr>
        <w:id w:val="147475518"/>
        <w15:color w:val="DBDBDB"/>
        <w:docPartObj>
          <w:docPartGallery w:val="Table of Contents"/>
          <w:docPartUnique/>
        </w:docPartObj>
      </w:sdtPr>
      <w:sdtEndPr>
        <w:rPr>
          <w:rFonts w:ascii="宋体" w:hAnsi="宋体" w:eastAsia="宋体" w:cs="Times New Roman"/>
          <w:kern w:val="2"/>
          <w:sz w:val="32"/>
          <w:szCs w:val="32"/>
          <w:lang w:val="en-US" w:eastAsia="zh-CN" w:bidi="ar-SA"/>
        </w:rPr>
      </w:sdtEndPr>
      <w:sdtContent>
        <w:p w14:paraId="424DCC31">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目录</w:t>
          </w:r>
        </w:p>
        <w:p w14:paraId="3E1C9803">
          <w:pPr>
            <w:pStyle w:val="10"/>
            <w:tabs>
              <w:tab w:val="right" w:leader="dot" w:pos="8306"/>
            </w:tabs>
            <w:rPr>
              <w:sz w:val="32"/>
              <w:szCs w:val="32"/>
            </w:rPr>
          </w:pPr>
          <w:r>
            <w:rPr>
              <w:sz w:val="32"/>
              <w:szCs w:val="32"/>
            </w:rPr>
            <w:fldChar w:fldCharType="begin"/>
          </w:r>
          <w:r>
            <w:rPr>
              <w:sz w:val="32"/>
              <w:szCs w:val="32"/>
            </w:rPr>
            <w:instrText xml:space="preserve">TOC \o "1-1" \h \u </w:instrText>
          </w:r>
          <w:r>
            <w:rPr>
              <w:sz w:val="32"/>
              <w:szCs w:val="32"/>
            </w:rPr>
            <w:fldChar w:fldCharType="separate"/>
          </w:r>
          <w:r>
            <w:rPr>
              <w:sz w:val="32"/>
              <w:szCs w:val="32"/>
            </w:rPr>
            <w:fldChar w:fldCharType="begin"/>
          </w:r>
          <w:r>
            <w:rPr>
              <w:sz w:val="32"/>
              <w:szCs w:val="32"/>
            </w:rPr>
            <w:instrText xml:space="preserve"> HYPERLINK \l _Toc21219 </w:instrText>
          </w:r>
          <w:r>
            <w:rPr>
              <w:sz w:val="32"/>
              <w:szCs w:val="32"/>
            </w:rPr>
            <w:fldChar w:fldCharType="separate"/>
          </w:r>
          <w:r>
            <w:rPr>
              <w:rFonts w:hint="eastAsia" w:ascii="华文中宋" w:hAnsi="华文中宋" w:eastAsia="华文中宋"/>
              <w:sz w:val="32"/>
              <w:szCs w:val="32"/>
              <w:highlight w:val="none"/>
            </w:rPr>
            <w:t>第一部分 合同协议书</w:t>
          </w:r>
          <w:r>
            <w:rPr>
              <w:sz w:val="32"/>
              <w:szCs w:val="32"/>
            </w:rPr>
            <w:tab/>
          </w:r>
          <w:r>
            <w:rPr>
              <w:sz w:val="32"/>
              <w:szCs w:val="32"/>
            </w:rPr>
            <w:fldChar w:fldCharType="begin"/>
          </w:r>
          <w:r>
            <w:rPr>
              <w:sz w:val="32"/>
              <w:szCs w:val="32"/>
            </w:rPr>
            <w:instrText xml:space="preserve"> PAGEREF _Toc21219 \h </w:instrText>
          </w:r>
          <w:r>
            <w:rPr>
              <w:sz w:val="32"/>
              <w:szCs w:val="32"/>
            </w:rPr>
            <w:fldChar w:fldCharType="separate"/>
          </w:r>
          <w:r>
            <w:rPr>
              <w:sz w:val="32"/>
              <w:szCs w:val="32"/>
            </w:rPr>
            <w:t>2</w:t>
          </w:r>
          <w:r>
            <w:rPr>
              <w:sz w:val="32"/>
              <w:szCs w:val="32"/>
            </w:rPr>
            <w:fldChar w:fldCharType="end"/>
          </w:r>
          <w:r>
            <w:rPr>
              <w:sz w:val="32"/>
              <w:szCs w:val="32"/>
            </w:rPr>
            <w:fldChar w:fldCharType="end"/>
          </w:r>
        </w:p>
        <w:p w14:paraId="5D29F6BE">
          <w:pPr>
            <w:pStyle w:val="10"/>
            <w:tabs>
              <w:tab w:val="right" w:leader="dot" w:pos="8306"/>
            </w:tabs>
            <w:rPr>
              <w:sz w:val="32"/>
              <w:szCs w:val="32"/>
            </w:rPr>
          </w:pPr>
          <w:r>
            <w:rPr>
              <w:sz w:val="32"/>
              <w:szCs w:val="32"/>
            </w:rPr>
            <w:fldChar w:fldCharType="begin"/>
          </w:r>
          <w:r>
            <w:rPr>
              <w:sz w:val="32"/>
              <w:szCs w:val="32"/>
            </w:rPr>
            <w:instrText xml:space="preserve"> HYPERLINK \l _Toc19212 </w:instrText>
          </w:r>
          <w:r>
            <w:rPr>
              <w:sz w:val="32"/>
              <w:szCs w:val="32"/>
            </w:rPr>
            <w:fldChar w:fldCharType="separate"/>
          </w:r>
          <w:r>
            <w:rPr>
              <w:rFonts w:hint="eastAsia" w:ascii="华文中宋" w:hAnsi="华文中宋" w:eastAsia="华文中宋"/>
              <w:sz w:val="32"/>
              <w:szCs w:val="32"/>
              <w:highlight w:val="none"/>
            </w:rPr>
            <w:t>第二部分 通用合同条款</w:t>
          </w:r>
          <w:r>
            <w:rPr>
              <w:sz w:val="32"/>
              <w:szCs w:val="32"/>
            </w:rPr>
            <w:tab/>
          </w:r>
          <w:r>
            <w:rPr>
              <w:sz w:val="32"/>
              <w:szCs w:val="32"/>
            </w:rPr>
            <w:fldChar w:fldCharType="begin"/>
          </w:r>
          <w:r>
            <w:rPr>
              <w:sz w:val="32"/>
              <w:szCs w:val="32"/>
            </w:rPr>
            <w:instrText xml:space="preserve"> PAGEREF _Toc19212 \h </w:instrText>
          </w:r>
          <w:r>
            <w:rPr>
              <w:sz w:val="32"/>
              <w:szCs w:val="32"/>
            </w:rPr>
            <w:fldChar w:fldCharType="separate"/>
          </w:r>
          <w:r>
            <w:rPr>
              <w:sz w:val="32"/>
              <w:szCs w:val="32"/>
            </w:rPr>
            <w:t>8</w:t>
          </w:r>
          <w:r>
            <w:rPr>
              <w:sz w:val="32"/>
              <w:szCs w:val="32"/>
            </w:rPr>
            <w:fldChar w:fldCharType="end"/>
          </w:r>
          <w:r>
            <w:rPr>
              <w:sz w:val="32"/>
              <w:szCs w:val="32"/>
            </w:rPr>
            <w:fldChar w:fldCharType="end"/>
          </w:r>
        </w:p>
        <w:p w14:paraId="79BA11C4">
          <w:pPr>
            <w:pStyle w:val="10"/>
            <w:tabs>
              <w:tab w:val="right" w:leader="dot" w:pos="8306"/>
            </w:tabs>
            <w:rPr>
              <w:sz w:val="32"/>
              <w:szCs w:val="32"/>
            </w:rPr>
          </w:pPr>
          <w:r>
            <w:rPr>
              <w:sz w:val="32"/>
              <w:szCs w:val="32"/>
            </w:rPr>
            <w:fldChar w:fldCharType="begin"/>
          </w:r>
          <w:r>
            <w:rPr>
              <w:sz w:val="32"/>
              <w:szCs w:val="32"/>
            </w:rPr>
            <w:instrText xml:space="preserve"> HYPERLINK \l _Toc9653 </w:instrText>
          </w:r>
          <w:r>
            <w:rPr>
              <w:sz w:val="32"/>
              <w:szCs w:val="32"/>
            </w:rPr>
            <w:fldChar w:fldCharType="separate"/>
          </w:r>
          <w:r>
            <w:rPr>
              <w:rFonts w:hint="eastAsia" w:ascii="黑体" w:eastAsia="黑体"/>
              <w:snapToGrid w:val="0"/>
              <w:sz w:val="32"/>
              <w:szCs w:val="32"/>
              <w:highlight w:val="none"/>
            </w:rPr>
            <w:t>1.合同标的</w:t>
          </w:r>
          <w:r>
            <w:rPr>
              <w:sz w:val="32"/>
              <w:szCs w:val="32"/>
            </w:rPr>
            <w:tab/>
          </w:r>
          <w:r>
            <w:rPr>
              <w:sz w:val="32"/>
              <w:szCs w:val="32"/>
            </w:rPr>
            <w:fldChar w:fldCharType="begin"/>
          </w:r>
          <w:r>
            <w:rPr>
              <w:sz w:val="32"/>
              <w:szCs w:val="32"/>
            </w:rPr>
            <w:instrText xml:space="preserve"> PAGEREF _Toc9653 \h </w:instrText>
          </w:r>
          <w:r>
            <w:rPr>
              <w:sz w:val="32"/>
              <w:szCs w:val="32"/>
            </w:rPr>
            <w:fldChar w:fldCharType="separate"/>
          </w:r>
          <w:r>
            <w:rPr>
              <w:sz w:val="32"/>
              <w:szCs w:val="32"/>
            </w:rPr>
            <w:t>8</w:t>
          </w:r>
          <w:r>
            <w:rPr>
              <w:sz w:val="32"/>
              <w:szCs w:val="32"/>
            </w:rPr>
            <w:fldChar w:fldCharType="end"/>
          </w:r>
          <w:r>
            <w:rPr>
              <w:sz w:val="32"/>
              <w:szCs w:val="32"/>
            </w:rPr>
            <w:fldChar w:fldCharType="end"/>
          </w:r>
        </w:p>
        <w:p w14:paraId="1AD5B8CF">
          <w:pPr>
            <w:pStyle w:val="10"/>
            <w:tabs>
              <w:tab w:val="right" w:leader="dot" w:pos="8306"/>
            </w:tabs>
            <w:rPr>
              <w:sz w:val="32"/>
              <w:szCs w:val="32"/>
            </w:rPr>
          </w:pPr>
          <w:r>
            <w:rPr>
              <w:sz w:val="32"/>
              <w:szCs w:val="32"/>
            </w:rPr>
            <w:fldChar w:fldCharType="begin"/>
          </w:r>
          <w:r>
            <w:rPr>
              <w:sz w:val="32"/>
              <w:szCs w:val="32"/>
            </w:rPr>
            <w:instrText xml:space="preserve"> HYPERLINK \l _Toc10940 </w:instrText>
          </w:r>
          <w:r>
            <w:rPr>
              <w:sz w:val="32"/>
              <w:szCs w:val="32"/>
            </w:rPr>
            <w:fldChar w:fldCharType="separate"/>
          </w:r>
          <w:r>
            <w:rPr>
              <w:rFonts w:hint="eastAsia" w:ascii="黑体" w:eastAsia="黑体"/>
              <w:snapToGrid w:val="0"/>
              <w:sz w:val="32"/>
              <w:szCs w:val="32"/>
              <w:highlight w:val="none"/>
            </w:rPr>
            <w:t>2.合同价格</w:t>
          </w:r>
          <w:r>
            <w:rPr>
              <w:sz w:val="32"/>
              <w:szCs w:val="32"/>
            </w:rPr>
            <w:tab/>
          </w:r>
          <w:r>
            <w:rPr>
              <w:sz w:val="32"/>
              <w:szCs w:val="32"/>
            </w:rPr>
            <w:fldChar w:fldCharType="begin"/>
          </w:r>
          <w:r>
            <w:rPr>
              <w:sz w:val="32"/>
              <w:szCs w:val="32"/>
            </w:rPr>
            <w:instrText xml:space="preserve"> PAGEREF _Toc10940 \h </w:instrText>
          </w:r>
          <w:r>
            <w:rPr>
              <w:sz w:val="32"/>
              <w:szCs w:val="32"/>
            </w:rPr>
            <w:fldChar w:fldCharType="separate"/>
          </w:r>
          <w:r>
            <w:rPr>
              <w:sz w:val="32"/>
              <w:szCs w:val="32"/>
            </w:rPr>
            <w:t>9</w:t>
          </w:r>
          <w:r>
            <w:rPr>
              <w:sz w:val="32"/>
              <w:szCs w:val="32"/>
            </w:rPr>
            <w:fldChar w:fldCharType="end"/>
          </w:r>
          <w:r>
            <w:rPr>
              <w:sz w:val="32"/>
              <w:szCs w:val="32"/>
            </w:rPr>
            <w:fldChar w:fldCharType="end"/>
          </w:r>
        </w:p>
        <w:p w14:paraId="251C84F2">
          <w:pPr>
            <w:pStyle w:val="10"/>
            <w:tabs>
              <w:tab w:val="right" w:leader="dot" w:pos="8306"/>
            </w:tabs>
            <w:rPr>
              <w:sz w:val="32"/>
              <w:szCs w:val="32"/>
            </w:rPr>
          </w:pPr>
          <w:r>
            <w:rPr>
              <w:sz w:val="32"/>
              <w:szCs w:val="32"/>
            </w:rPr>
            <w:fldChar w:fldCharType="begin"/>
          </w:r>
          <w:r>
            <w:rPr>
              <w:sz w:val="32"/>
              <w:szCs w:val="32"/>
            </w:rPr>
            <w:instrText xml:space="preserve"> HYPERLINK \l _Toc337 </w:instrText>
          </w:r>
          <w:r>
            <w:rPr>
              <w:sz w:val="32"/>
              <w:szCs w:val="32"/>
            </w:rPr>
            <w:fldChar w:fldCharType="separate"/>
          </w:r>
          <w:r>
            <w:rPr>
              <w:rFonts w:hint="eastAsia" w:ascii="黑体" w:eastAsia="黑体"/>
              <w:snapToGrid w:val="0"/>
              <w:sz w:val="32"/>
              <w:szCs w:val="32"/>
              <w:highlight w:val="none"/>
            </w:rPr>
            <w:t>3.交货</w:t>
          </w:r>
          <w:r>
            <w:rPr>
              <w:sz w:val="32"/>
              <w:szCs w:val="32"/>
            </w:rPr>
            <w:tab/>
          </w:r>
          <w:r>
            <w:rPr>
              <w:sz w:val="32"/>
              <w:szCs w:val="32"/>
            </w:rPr>
            <w:fldChar w:fldCharType="begin"/>
          </w:r>
          <w:r>
            <w:rPr>
              <w:sz w:val="32"/>
              <w:szCs w:val="32"/>
            </w:rPr>
            <w:instrText xml:space="preserve"> PAGEREF _Toc337 \h </w:instrText>
          </w:r>
          <w:r>
            <w:rPr>
              <w:sz w:val="32"/>
              <w:szCs w:val="32"/>
            </w:rPr>
            <w:fldChar w:fldCharType="separate"/>
          </w:r>
          <w:r>
            <w:rPr>
              <w:sz w:val="32"/>
              <w:szCs w:val="32"/>
            </w:rPr>
            <w:t>9</w:t>
          </w:r>
          <w:r>
            <w:rPr>
              <w:sz w:val="32"/>
              <w:szCs w:val="32"/>
            </w:rPr>
            <w:fldChar w:fldCharType="end"/>
          </w:r>
          <w:r>
            <w:rPr>
              <w:sz w:val="32"/>
              <w:szCs w:val="32"/>
            </w:rPr>
            <w:fldChar w:fldCharType="end"/>
          </w:r>
        </w:p>
        <w:p w14:paraId="3633EFD5">
          <w:pPr>
            <w:pStyle w:val="10"/>
            <w:tabs>
              <w:tab w:val="right" w:leader="dot" w:pos="8306"/>
            </w:tabs>
            <w:rPr>
              <w:sz w:val="32"/>
              <w:szCs w:val="32"/>
            </w:rPr>
          </w:pPr>
          <w:r>
            <w:rPr>
              <w:sz w:val="32"/>
              <w:szCs w:val="32"/>
            </w:rPr>
            <w:fldChar w:fldCharType="begin"/>
          </w:r>
          <w:r>
            <w:rPr>
              <w:sz w:val="32"/>
              <w:szCs w:val="32"/>
            </w:rPr>
            <w:instrText xml:space="preserve"> HYPERLINK \l _Toc7808 </w:instrText>
          </w:r>
          <w:r>
            <w:rPr>
              <w:sz w:val="32"/>
              <w:szCs w:val="32"/>
            </w:rPr>
            <w:fldChar w:fldCharType="separate"/>
          </w:r>
          <w:r>
            <w:rPr>
              <w:rFonts w:hint="eastAsia" w:ascii="黑体" w:eastAsia="黑体"/>
              <w:snapToGrid w:val="0"/>
              <w:sz w:val="32"/>
              <w:szCs w:val="32"/>
              <w:highlight w:val="none"/>
            </w:rPr>
            <w:t>4.包装与标记</w:t>
          </w:r>
          <w:r>
            <w:rPr>
              <w:sz w:val="32"/>
              <w:szCs w:val="32"/>
            </w:rPr>
            <w:tab/>
          </w:r>
          <w:r>
            <w:rPr>
              <w:sz w:val="32"/>
              <w:szCs w:val="32"/>
            </w:rPr>
            <w:fldChar w:fldCharType="begin"/>
          </w:r>
          <w:r>
            <w:rPr>
              <w:sz w:val="32"/>
              <w:szCs w:val="32"/>
            </w:rPr>
            <w:instrText xml:space="preserve"> PAGEREF _Toc7808 \h </w:instrText>
          </w:r>
          <w:r>
            <w:rPr>
              <w:sz w:val="32"/>
              <w:szCs w:val="32"/>
            </w:rPr>
            <w:fldChar w:fldCharType="separate"/>
          </w:r>
          <w:r>
            <w:rPr>
              <w:sz w:val="32"/>
              <w:szCs w:val="32"/>
            </w:rPr>
            <w:t>11</w:t>
          </w:r>
          <w:r>
            <w:rPr>
              <w:sz w:val="32"/>
              <w:szCs w:val="32"/>
            </w:rPr>
            <w:fldChar w:fldCharType="end"/>
          </w:r>
          <w:r>
            <w:rPr>
              <w:sz w:val="32"/>
              <w:szCs w:val="32"/>
            </w:rPr>
            <w:fldChar w:fldCharType="end"/>
          </w:r>
        </w:p>
        <w:p w14:paraId="0693171B">
          <w:pPr>
            <w:pStyle w:val="10"/>
            <w:tabs>
              <w:tab w:val="right" w:leader="dot" w:pos="8306"/>
            </w:tabs>
            <w:rPr>
              <w:sz w:val="32"/>
              <w:szCs w:val="32"/>
            </w:rPr>
          </w:pPr>
          <w:r>
            <w:rPr>
              <w:sz w:val="32"/>
              <w:szCs w:val="32"/>
            </w:rPr>
            <w:fldChar w:fldCharType="begin"/>
          </w:r>
          <w:r>
            <w:rPr>
              <w:sz w:val="32"/>
              <w:szCs w:val="32"/>
            </w:rPr>
            <w:instrText xml:space="preserve"> HYPERLINK \l _Toc11870 </w:instrText>
          </w:r>
          <w:r>
            <w:rPr>
              <w:sz w:val="32"/>
              <w:szCs w:val="32"/>
            </w:rPr>
            <w:fldChar w:fldCharType="separate"/>
          </w:r>
          <w:r>
            <w:rPr>
              <w:rFonts w:hint="eastAsia" w:ascii="黑体" w:eastAsia="黑体"/>
              <w:snapToGrid w:val="0"/>
              <w:sz w:val="32"/>
              <w:szCs w:val="32"/>
              <w:highlight w:val="none"/>
            </w:rPr>
            <w:t>5.到货检验</w:t>
          </w:r>
          <w:r>
            <w:rPr>
              <w:sz w:val="32"/>
              <w:szCs w:val="32"/>
            </w:rPr>
            <w:tab/>
          </w:r>
          <w:r>
            <w:rPr>
              <w:sz w:val="32"/>
              <w:szCs w:val="32"/>
            </w:rPr>
            <w:fldChar w:fldCharType="begin"/>
          </w:r>
          <w:r>
            <w:rPr>
              <w:sz w:val="32"/>
              <w:szCs w:val="32"/>
            </w:rPr>
            <w:instrText xml:space="preserve"> PAGEREF _Toc11870 \h </w:instrText>
          </w:r>
          <w:r>
            <w:rPr>
              <w:sz w:val="32"/>
              <w:szCs w:val="32"/>
            </w:rPr>
            <w:fldChar w:fldCharType="separate"/>
          </w:r>
          <w:r>
            <w:rPr>
              <w:sz w:val="32"/>
              <w:szCs w:val="32"/>
            </w:rPr>
            <w:t>11</w:t>
          </w:r>
          <w:r>
            <w:rPr>
              <w:sz w:val="32"/>
              <w:szCs w:val="32"/>
            </w:rPr>
            <w:fldChar w:fldCharType="end"/>
          </w:r>
          <w:r>
            <w:rPr>
              <w:sz w:val="32"/>
              <w:szCs w:val="32"/>
            </w:rPr>
            <w:fldChar w:fldCharType="end"/>
          </w:r>
        </w:p>
        <w:p w14:paraId="63FC0665">
          <w:pPr>
            <w:pStyle w:val="10"/>
            <w:tabs>
              <w:tab w:val="right" w:leader="dot" w:pos="8306"/>
            </w:tabs>
            <w:rPr>
              <w:sz w:val="32"/>
              <w:szCs w:val="32"/>
            </w:rPr>
          </w:pPr>
          <w:r>
            <w:rPr>
              <w:sz w:val="32"/>
              <w:szCs w:val="32"/>
            </w:rPr>
            <w:fldChar w:fldCharType="begin"/>
          </w:r>
          <w:r>
            <w:rPr>
              <w:sz w:val="32"/>
              <w:szCs w:val="32"/>
            </w:rPr>
            <w:instrText xml:space="preserve"> HYPERLINK \l _Toc10741 </w:instrText>
          </w:r>
          <w:r>
            <w:rPr>
              <w:sz w:val="32"/>
              <w:szCs w:val="32"/>
            </w:rPr>
            <w:fldChar w:fldCharType="separate"/>
          </w:r>
          <w:r>
            <w:rPr>
              <w:rFonts w:hint="eastAsia" w:ascii="黑体" w:eastAsia="黑体"/>
              <w:snapToGrid w:val="0"/>
              <w:sz w:val="32"/>
              <w:szCs w:val="32"/>
              <w:highlight w:val="none"/>
            </w:rPr>
            <w:t>6.安装和质量保证</w:t>
          </w:r>
          <w:r>
            <w:rPr>
              <w:sz w:val="32"/>
              <w:szCs w:val="32"/>
            </w:rPr>
            <w:tab/>
          </w:r>
          <w:r>
            <w:rPr>
              <w:sz w:val="32"/>
              <w:szCs w:val="32"/>
            </w:rPr>
            <w:fldChar w:fldCharType="begin"/>
          </w:r>
          <w:r>
            <w:rPr>
              <w:sz w:val="32"/>
              <w:szCs w:val="32"/>
            </w:rPr>
            <w:instrText xml:space="preserve"> PAGEREF _Toc10741 \h </w:instrText>
          </w:r>
          <w:r>
            <w:rPr>
              <w:sz w:val="32"/>
              <w:szCs w:val="32"/>
            </w:rPr>
            <w:fldChar w:fldCharType="separate"/>
          </w:r>
          <w:r>
            <w:rPr>
              <w:sz w:val="32"/>
              <w:szCs w:val="32"/>
            </w:rPr>
            <w:t>12</w:t>
          </w:r>
          <w:r>
            <w:rPr>
              <w:sz w:val="32"/>
              <w:szCs w:val="32"/>
            </w:rPr>
            <w:fldChar w:fldCharType="end"/>
          </w:r>
          <w:r>
            <w:rPr>
              <w:sz w:val="32"/>
              <w:szCs w:val="32"/>
            </w:rPr>
            <w:fldChar w:fldCharType="end"/>
          </w:r>
        </w:p>
        <w:p w14:paraId="36CA9FED">
          <w:pPr>
            <w:pStyle w:val="10"/>
            <w:tabs>
              <w:tab w:val="right" w:leader="dot" w:pos="8306"/>
            </w:tabs>
            <w:rPr>
              <w:sz w:val="32"/>
              <w:szCs w:val="32"/>
            </w:rPr>
          </w:pPr>
          <w:r>
            <w:rPr>
              <w:sz w:val="32"/>
              <w:szCs w:val="32"/>
            </w:rPr>
            <w:fldChar w:fldCharType="begin"/>
          </w:r>
          <w:r>
            <w:rPr>
              <w:sz w:val="32"/>
              <w:szCs w:val="32"/>
            </w:rPr>
            <w:instrText xml:space="preserve"> HYPERLINK \l _Toc20809 </w:instrText>
          </w:r>
          <w:r>
            <w:rPr>
              <w:sz w:val="32"/>
              <w:szCs w:val="32"/>
            </w:rPr>
            <w:fldChar w:fldCharType="separate"/>
          </w:r>
          <w:r>
            <w:rPr>
              <w:rFonts w:hint="eastAsia" w:ascii="黑体" w:eastAsia="黑体"/>
              <w:snapToGrid w:val="0"/>
              <w:sz w:val="32"/>
              <w:szCs w:val="32"/>
              <w:highlight w:val="none"/>
            </w:rPr>
            <w:t>7.违约责任</w:t>
          </w:r>
          <w:r>
            <w:rPr>
              <w:sz w:val="32"/>
              <w:szCs w:val="32"/>
            </w:rPr>
            <w:tab/>
          </w:r>
          <w:r>
            <w:rPr>
              <w:sz w:val="32"/>
              <w:szCs w:val="32"/>
            </w:rPr>
            <w:fldChar w:fldCharType="begin"/>
          </w:r>
          <w:r>
            <w:rPr>
              <w:sz w:val="32"/>
              <w:szCs w:val="32"/>
            </w:rPr>
            <w:instrText xml:space="preserve"> PAGEREF _Toc20809 \h </w:instrText>
          </w:r>
          <w:r>
            <w:rPr>
              <w:sz w:val="32"/>
              <w:szCs w:val="32"/>
            </w:rPr>
            <w:fldChar w:fldCharType="separate"/>
          </w:r>
          <w:r>
            <w:rPr>
              <w:sz w:val="32"/>
              <w:szCs w:val="32"/>
            </w:rPr>
            <w:t>14</w:t>
          </w:r>
          <w:r>
            <w:rPr>
              <w:sz w:val="32"/>
              <w:szCs w:val="32"/>
            </w:rPr>
            <w:fldChar w:fldCharType="end"/>
          </w:r>
          <w:r>
            <w:rPr>
              <w:sz w:val="32"/>
              <w:szCs w:val="32"/>
            </w:rPr>
            <w:fldChar w:fldCharType="end"/>
          </w:r>
        </w:p>
        <w:p w14:paraId="42B84CDD">
          <w:pPr>
            <w:pStyle w:val="10"/>
            <w:tabs>
              <w:tab w:val="right" w:leader="dot" w:pos="8306"/>
            </w:tabs>
            <w:rPr>
              <w:sz w:val="32"/>
              <w:szCs w:val="32"/>
            </w:rPr>
          </w:pPr>
          <w:r>
            <w:rPr>
              <w:sz w:val="32"/>
              <w:szCs w:val="32"/>
            </w:rPr>
            <w:fldChar w:fldCharType="begin"/>
          </w:r>
          <w:r>
            <w:rPr>
              <w:sz w:val="32"/>
              <w:szCs w:val="32"/>
            </w:rPr>
            <w:instrText xml:space="preserve"> HYPERLINK \l _Toc31226 </w:instrText>
          </w:r>
          <w:r>
            <w:rPr>
              <w:sz w:val="32"/>
              <w:szCs w:val="32"/>
            </w:rPr>
            <w:fldChar w:fldCharType="separate"/>
          </w:r>
          <w:r>
            <w:rPr>
              <w:rFonts w:hint="eastAsia" w:ascii="黑体" w:eastAsia="黑体"/>
              <w:snapToGrid w:val="0"/>
              <w:sz w:val="32"/>
              <w:szCs w:val="32"/>
              <w:highlight w:val="none"/>
            </w:rPr>
            <w:t>8.不可抗力</w:t>
          </w:r>
          <w:r>
            <w:rPr>
              <w:sz w:val="32"/>
              <w:szCs w:val="32"/>
            </w:rPr>
            <w:tab/>
          </w:r>
          <w:r>
            <w:rPr>
              <w:sz w:val="32"/>
              <w:szCs w:val="32"/>
            </w:rPr>
            <w:fldChar w:fldCharType="begin"/>
          </w:r>
          <w:r>
            <w:rPr>
              <w:sz w:val="32"/>
              <w:szCs w:val="32"/>
            </w:rPr>
            <w:instrText xml:space="preserve"> PAGEREF _Toc31226 \h </w:instrText>
          </w:r>
          <w:r>
            <w:rPr>
              <w:sz w:val="32"/>
              <w:szCs w:val="32"/>
            </w:rPr>
            <w:fldChar w:fldCharType="separate"/>
          </w:r>
          <w:r>
            <w:rPr>
              <w:sz w:val="32"/>
              <w:szCs w:val="32"/>
            </w:rPr>
            <w:t>16</w:t>
          </w:r>
          <w:r>
            <w:rPr>
              <w:sz w:val="32"/>
              <w:szCs w:val="32"/>
            </w:rPr>
            <w:fldChar w:fldCharType="end"/>
          </w:r>
          <w:r>
            <w:rPr>
              <w:sz w:val="32"/>
              <w:szCs w:val="32"/>
            </w:rPr>
            <w:fldChar w:fldCharType="end"/>
          </w:r>
        </w:p>
        <w:p w14:paraId="249177D7">
          <w:pPr>
            <w:pStyle w:val="10"/>
            <w:tabs>
              <w:tab w:val="right" w:leader="dot" w:pos="8306"/>
            </w:tabs>
            <w:rPr>
              <w:sz w:val="32"/>
              <w:szCs w:val="32"/>
            </w:rPr>
          </w:pPr>
          <w:r>
            <w:rPr>
              <w:sz w:val="32"/>
              <w:szCs w:val="32"/>
            </w:rPr>
            <w:fldChar w:fldCharType="begin"/>
          </w:r>
          <w:r>
            <w:rPr>
              <w:sz w:val="32"/>
              <w:szCs w:val="32"/>
            </w:rPr>
            <w:instrText xml:space="preserve"> HYPERLINK \l _Toc7441 </w:instrText>
          </w:r>
          <w:r>
            <w:rPr>
              <w:sz w:val="32"/>
              <w:szCs w:val="32"/>
            </w:rPr>
            <w:fldChar w:fldCharType="separate"/>
          </w:r>
          <w:r>
            <w:rPr>
              <w:rFonts w:hint="eastAsia" w:ascii="黑体" w:hAnsi="方正仿宋_GBK" w:eastAsia="黑体"/>
              <w:snapToGrid w:val="0"/>
              <w:kern w:val="44"/>
              <w:sz w:val="32"/>
              <w:szCs w:val="32"/>
              <w:highlight w:val="none"/>
            </w:rPr>
            <w:t>9.反商业贿赂</w:t>
          </w:r>
          <w:r>
            <w:rPr>
              <w:sz w:val="32"/>
              <w:szCs w:val="32"/>
            </w:rPr>
            <w:tab/>
          </w:r>
          <w:r>
            <w:rPr>
              <w:sz w:val="32"/>
              <w:szCs w:val="32"/>
            </w:rPr>
            <w:fldChar w:fldCharType="begin"/>
          </w:r>
          <w:r>
            <w:rPr>
              <w:sz w:val="32"/>
              <w:szCs w:val="32"/>
            </w:rPr>
            <w:instrText xml:space="preserve"> PAGEREF _Toc7441 \h </w:instrText>
          </w:r>
          <w:r>
            <w:rPr>
              <w:sz w:val="32"/>
              <w:szCs w:val="32"/>
            </w:rPr>
            <w:fldChar w:fldCharType="separate"/>
          </w:r>
          <w:r>
            <w:rPr>
              <w:sz w:val="32"/>
              <w:szCs w:val="32"/>
            </w:rPr>
            <w:t>17</w:t>
          </w:r>
          <w:r>
            <w:rPr>
              <w:sz w:val="32"/>
              <w:szCs w:val="32"/>
            </w:rPr>
            <w:fldChar w:fldCharType="end"/>
          </w:r>
          <w:r>
            <w:rPr>
              <w:sz w:val="32"/>
              <w:szCs w:val="32"/>
            </w:rPr>
            <w:fldChar w:fldCharType="end"/>
          </w:r>
        </w:p>
        <w:p w14:paraId="257050D2">
          <w:pPr>
            <w:pStyle w:val="10"/>
            <w:tabs>
              <w:tab w:val="right" w:leader="dot" w:pos="8306"/>
            </w:tabs>
            <w:rPr>
              <w:sz w:val="32"/>
              <w:szCs w:val="32"/>
            </w:rPr>
          </w:pPr>
          <w:r>
            <w:rPr>
              <w:sz w:val="32"/>
              <w:szCs w:val="32"/>
            </w:rPr>
            <w:fldChar w:fldCharType="begin"/>
          </w:r>
          <w:r>
            <w:rPr>
              <w:sz w:val="32"/>
              <w:szCs w:val="32"/>
            </w:rPr>
            <w:instrText xml:space="preserve"> HYPERLINK \l _Toc12477 </w:instrText>
          </w:r>
          <w:r>
            <w:rPr>
              <w:sz w:val="32"/>
              <w:szCs w:val="32"/>
            </w:rPr>
            <w:fldChar w:fldCharType="separate"/>
          </w:r>
          <w:r>
            <w:rPr>
              <w:rFonts w:hint="eastAsia" w:ascii="黑体" w:hAnsi="方正仿宋_GBK" w:eastAsia="黑体"/>
              <w:snapToGrid w:val="0"/>
              <w:kern w:val="44"/>
              <w:sz w:val="32"/>
              <w:szCs w:val="32"/>
              <w:highlight w:val="none"/>
            </w:rPr>
            <w:t>10.协议变更与解除</w:t>
          </w:r>
          <w:r>
            <w:rPr>
              <w:sz w:val="32"/>
              <w:szCs w:val="32"/>
            </w:rPr>
            <w:tab/>
          </w:r>
          <w:r>
            <w:rPr>
              <w:sz w:val="32"/>
              <w:szCs w:val="32"/>
            </w:rPr>
            <w:fldChar w:fldCharType="begin"/>
          </w:r>
          <w:r>
            <w:rPr>
              <w:sz w:val="32"/>
              <w:szCs w:val="32"/>
            </w:rPr>
            <w:instrText xml:space="preserve"> PAGEREF _Toc12477 \h </w:instrText>
          </w:r>
          <w:r>
            <w:rPr>
              <w:sz w:val="32"/>
              <w:szCs w:val="32"/>
            </w:rPr>
            <w:fldChar w:fldCharType="separate"/>
          </w:r>
          <w:r>
            <w:rPr>
              <w:sz w:val="32"/>
              <w:szCs w:val="32"/>
            </w:rPr>
            <w:t>17</w:t>
          </w:r>
          <w:r>
            <w:rPr>
              <w:sz w:val="32"/>
              <w:szCs w:val="32"/>
            </w:rPr>
            <w:fldChar w:fldCharType="end"/>
          </w:r>
          <w:r>
            <w:rPr>
              <w:sz w:val="32"/>
              <w:szCs w:val="32"/>
            </w:rPr>
            <w:fldChar w:fldCharType="end"/>
          </w:r>
        </w:p>
        <w:p w14:paraId="3028BDC6">
          <w:pPr>
            <w:pStyle w:val="10"/>
            <w:tabs>
              <w:tab w:val="right" w:leader="dot" w:pos="8306"/>
            </w:tabs>
            <w:rPr>
              <w:sz w:val="32"/>
              <w:szCs w:val="32"/>
            </w:rPr>
          </w:pPr>
          <w:r>
            <w:rPr>
              <w:sz w:val="32"/>
              <w:szCs w:val="32"/>
            </w:rPr>
            <w:fldChar w:fldCharType="begin"/>
          </w:r>
          <w:r>
            <w:rPr>
              <w:sz w:val="32"/>
              <w:szCs w:val="32"/>
            </w:rPr>
            <w:instrText xml:space="preserve"> HYPERLINK \l _Toc16789 </w:instrText>
          </w:r>
          <w:r>
            <w:rPr>
              <w:sz w:val="32"/>
              <w:szCs w:val="32"/>
            </w:rPr>
            <w:fldChar w:fldCharType="separate"/>
          </w:r>
          <w:r>
            <w:rPr>
              <w:rFonts w:hint="eastAsia" w:ascii="黑体" w:eastAsia="黑体"/>
              <w:snapToGrid w:val="0"/>
              <w:sz w:val="32"/>
              <w:szCs w:val="32"/>
              <w:highlight w:val="none"/>
            </w:rPr>
            <w:t>11.适用法律</w:t>
          </w:r>
          <w:r>
            <w:rPr>
              <w:sz w:val="32"/>
              <w:szCs w:val="32"/>
            </w:rPr>
            <w:tab/>
          </w:r>
          <w:r>
            <w:rPr>
              <w:sz w:val="32"/>
              <w:szCs w:val="32"/>
            </w:rPr>
            <w:fldChar w:fldCharType="begin"/>
          </w:r>
          <w:r>
            <w:rPr>
              <w:sz w:val="32"/>
              <w:szCs w:val="32"/>
            </w:rPr>
            <w:instrText xml:space="preserve"> PAGEREF _Toc16789 \h </w:instrText>
          </w:r>
          <w:r>
            <w:rPr>
              <w:sz w:val="32"/>
              <w:szCs w:val="32"/>
            </w:rPr>
            <w:fldChar w:fldCharType="separate"/>
          </w:r>
          <w:r>
            <w:rPr>
              <w:sz w:val="32"/>
              <w:szCs w:val="32"/>
            </w:rPr>
            <w:t>18</w:t>
          </w:r>
          <w:r>
            <w:rPr>
              <w:sz w:val="32"/>
              <w:szCs w:val="32"/>
            </w:rPr>
            <w:fldChar w:fldCharType="end"/>
          </w:r>
          <w:r>
            <w:rPr>
              <w:sz w:val="32"/>
              <w:szCs w:val="32"/>
            </w:rPr>
            <w:fldChar w:fldCharType="end"/>
          </w:r>
        </w:p>
        <w:p w14:paraId="2C8EE89A">
          <w:pPr>
            <w:pStyle w:val="10"/>
            <w:tabs>
              <w:tab w:val="right" w:leader="dot" w:pos="8306"/>
            </w:tabs>
            <w:rPr>
              <w:sz w:val="32"/>
              <w:szCs w:val="32"/>
            </w:rPr>
          </w:pPr>
          <w:r>
            <w:rPr>
              <w:sz w:val="32"/>
              <w:szCs w:val="32"/>
            </w:rPr>
            <w:fldChar w:fldCharType="begin"/>
          </w:r>
          <w:r>
            <w:rPr>
              <w:sz w:val="32"/>
              <w:szCs w:val="32"/>
            </w:rPr>
            <w:instrText xml:space="preserve"> HYPERLINK \l _Toc9062 </w:instrText>
          </w:r>
          <w:r>
            <w:rPr>
              <w:sz w:val="32"/>
              <w:szCs w:val="32"/>
            </w:rPr>
            <w:fldChar w:fldCharType="separate"/>
          </w:r>
          <w:r>
            <w:rPr>
              <w:rFonts w:hint="eastAsia" w:ascii="黑体" w:eastAsia="黑体"/>
              <w:snapToGrid w:val="0"/>
              <w:sz w:val="32"/>
              <w:szCs w:val="32"/>
              <w:highlight w:val="none"/>
            </w:rPr>
            <w:t>12.争议解决</w:t>
          </w:r>
          <w:r>
            <w:rPr>
              <w:sz w:val="32"/>
              <w:szCs w:val="32"/>
            </w:rPr>
            <w:tab/>
          </w:r>
          <w:r>
            <w:rPr>
              <w:sz w:val="32"/>
              <w:szCs w:val="32"/>
            </w:rPr>
            <w:fldChar w:fldCharType="begin"/>
          </w:r>
          <w:r>
            <w:rPr>
              <w:sz w:val="32"/>
              <w:szCs w:val="32"/>
            </w:rPr>
            <w:instrText xml:space="preserve"> PAGEREF _Toc9062 \h </w:instrText>
          </w:r>
          <w:r>
            <w:rPr>
              <w:sz w:val="32"/>
              <w:szCs w:val="32"/>
            </w:rPr>
            <w:fldChar w:fldCharType="separate"/>
          </w:r>
          <w:r>
            <w:rPr>
              <w:sz w:val="32"/>
              <w:szCs w:val="32"/>
            </w:rPr>
            <w:t>18</w:t>
          </w:r>
          <w:r>
            <w:rPr>
              <w:sz w:val="32"/>
              <w:szCs w:val="32"/>
            </w:rPr>
            <w:fldChar w:fldCharType="end"/>
          </w:r>
          <w:r>
            <w:rPr>
              <w:sz w:val="32"/>
              <w:szCs w:val="32"/>
            </w:rPr>
            <w:fldChar w:fldCharType="end"/>
          </w:r>
        </w:p>
        <w:p w14:paraId="4B92C6E0">
          <w:pPr>
            <w:pStyle w:val="10"/>
            <w:tabs>
              <w:tab w:val="right" w:leader="dot" w:pos="8306"/>
            </w:tabs>
            <w:rPr>
              <w:sz w:val="32"/>
              <w:szCs w:val="32"/>
            </w:rPr>
          </w:pPr>
          <w:r>
            <w:rPr>
              <w:sz w:val="32"/>
              <w:szCs w:val="32"/>
            </w:rPr>
            <w:fldChar w:fldCharType="begin"/>
          </w:r>
          <w:r>
            <w:rPr>
              <w:sz w:val="32"/>
              <w:szCs w:val="32"/>
            </w:rPr>
            <w:instrText xml:space="preserve"> HYPERLINK \l _Toc6426 </w:instrText>
          </w:r>
          <w:r>
            <w:rPr>
              <w:sz w:val="32"/>
              <w:szCs w:val="32"/>
            </w:rPr>
            <w:fldChar w:fldCharType="separate"/>
          </w:r>
          <w:r>
            <w:rPr>
              <w:rFonts w:hint="eastAsia" w:ascii="黑体" w:eastAsia="黑体"/>
              <w:snapToGrid w:val="0"/>
              <w:sz w:val="32"/>
              <w:szCs w:val="32"/>
              <w:highlight w:val="none"/>
            </w:rPr>
            <w:t>13.合同生效</w:t>
          </w:r>
          <w:r>
            <w:rPr>
              <w:sz w:val="32"/>
              <w:szCs w:val="32"/>
            </w:rPr>
            <w:tab/>
          </w:r>
          <w:r>
            <w:rPr>
              <w:sz w:val="32"/>
              <w:szCs w:val="32"/>
            </w:rPr>
            <w:fldChar w:fldCharType="begin"/>
          </w:r>
          <w:r>
            <w:rPr>
              <w:sz w:val="32"/>
              <w:szCs w:val="32"/>
            </w:rPr>
            <w:instrText xml:space="preserve"> PAGEREF _Toc6426 \h </w:instrText>
          </w:r>
          <w:r>
            <w:rPr>
              <w:sz w:val="32"/>
              <w:szCs w:val="32"/>
            </w:rPr>
            <w:fldChar w:fldCharType="separate"/>
          </w:r>
          <w:r>
            <w:rPr>
              <w:sz w:val="32"/>
              <w:szCs w:val="32"/>
            </w:rPr>
            <w:t>18</w:t>
          </w:r>
          <w:r>
            <w:rPr>
              <w:sz w:val="32"/>
              <w:szCs w:val="32"/>
            </w:rPr>
            <w:fldChar w:fldCharType="end"/>
          </w:r>
          <w:r>
            <w:rPr>
              <w:sz w:val="32"/>
              <w:szCs w:val="32"/>
            </w:rPr>
            <w:fldChar w:fldCharType="end"/>
          </w:r>
        </w:p>
        <w:p w14:paraId="4BAC8289">
          <w:pPr>
            <w:pStyle w:val="10"/>
            <w:tabs>
              <w:tab w:val="right" w:leader="dot" w:pos="8306"/>
            </w:tabs>
            <w:rPr>
              <w:sz w:val="32"/>
              <w:szCs w:val="32"/>
            </w:rPr>
          </w:pPr>
          <w:r>
            <w:rPr>
              <w:sz w:val="32"/>
              <w:szCs w:val="32"/>
            </w:rPr>
            <w:fldChar w:fldCharType="begin"/>
          </w:r>
          <w:r>
            <w:rPr>
              <w:sz w:val="32"/>
              <w:szCs w:val="32"/>
            </w:rPr>
            <w:instrText xml:space="preserve"> HYPERLINK \l _Toc7672 </w:instrText>
          </w:r>
          <w:r>
            <w:rPr>
              <w:sz w:val="32"/>
              <w:szCs w:val="32"/>
            </w:rPr>
            <w:fldChar w:fldCharType="separate"/>
          </w:r>
          <w:r>
            <w:rPr>
              <w:rFonts w:hint="eastAsia" w:ascii="黑体" w:eastAsia="黑体"/>
              <w:snapToGrid w:val="0"/>
              <w:sz w:val="32"/>
              <w:szCs w:val="32"/>
              <w:highlight w:val="none"/>
            </w:rPr>
            <w:t>14.份数</w:t>
          </w:r>
          <w:r>
            <w:rPr>
              <w:sz w:val="32"/>
              <w:szCs w:val="32"/>
            </w:rPr>
            <w:tab/>
          </w:r>
          <w:r>
            <w:rPr>
              <w:sz w:val="32"/>
              <w:szCs w:val="32"/>
            </w:rPr>
            <w:fldChar w:fldCharType="begin"/>
          </w:r>
          <w:r>
            <w:rPr>
              <w:sz w:val="32"/>
              <w:szCs w:val="32"/>
            </w:rPr>
            <w:instrText xml:space="preserve"> PAGEREF _Toc7672 \h </w:instrText>
          </w:r>
          <w:r>
            <w:rPr>
              <w:sz w:val="32"/>
              <w:szCs w:val="32"/>
            </w:rPr>
            <w:fldChar w:fldCharType="separate"/>
          </w:r>
          <w:r>
            <w:rPr>
              <w:sz w:val="32"/>
              <w:szCs w:val="32"/>
            </w:rPr>
            <w:t>18</w:t>
          </w:r>
          <w:r>
            <w:rPr>
              <w:sz w:val="32"/>
              <w:szCs w:val="32"/>
            </w:rPr>
            <w:fldChar w:fldCharType="end"/>
          </w:r>
          <w:r>
            <w:rPr>
              <w:sz w:val="32"/>
              <w:szCs w:val="32"/>
            </w:rPr>
            <w:fldChar w:fldCharType="end"/>
          </w:r>
        </w:p>
        <w:p w14:paraId="26271004">
          <w:pPr>
            <w:pStyle w:val="10"/>
            <w:tabs>
              <w:tab w:val="right" w:leader="dot" w:pos="8306"/>
            </w:tabs>
            <w:rPr>
              <w:sz w:val="32"/>
              <w:szCs w:val="32"/>
            </w:rPr>
          </w:pPr>
          <w:r>
            <w:rPr>
              <w:sz w:val="32"/>
              <w:szCs w:val="32"/>
            </w:rPr>
            <w:fldChar w:fldCharType="begin"/>
          </w:r>
          <w:r>
            <w:rPr>
              <w:sz w:val="32"/>
              <w:szCs w:val="32"/>
            </w:rPr>
            <w:instrText xml:space="preserve"> HYPERLINK \l _Toc30493 </w:instrText>
          </w:r>
          <w:r>
            <w:rPr>
              <w:sz w:val="32"/>
              <w:szCs w:val="32"/>
            </w:rPr>
            <w:fldChar w:fldCharType="separate"/>
          </w:r>
          <w:r>
            <w:rPr>
              <w:rFonts w:hint="eastAsia" w:ascii="黑体" w:eastAsia="黑体"/>
              <w:snapToGrid w:val="0"/>
              <w:sz w:val="32"/>
              <w:szCs w:val="32"/>
              <w:highlight w:val="none"/>
            </w:rPr>
            <w:t>15.保密</w:t>
          </w:r>
          <w:r>
            <w:rPr>
              <w:sz w:val="32"/>
              <w:szCs w:val="32"/>
            </w:rPr>
            <w:tab/>
          </w:r>
          <w:r>
            <w:rPr>
              <w:sz w:val="32"/>
              <w:szCs w:val="32"/>
            </w:rPr>
            <w:fldChar w:fldCharType="begin"/>
          </w:r>
          <w:r>
            <w:rPr>
              <w:sz w:val="32"/>
              <w:szCs w:val="32"/>
            </w:rPr>
            <w:instrText xml:space="preserve"> PAGEREF _Toc30493 \h </w:instrText>
          </w:r>
          <w:r>
            <w:rPr>
              <w:sz w:val="32"/>
              <w:szCs w:val="32"/>
            </w:rPr>
            <w:fldChar w:fldCharType="separate"/>
          </w:r>
          <w:r>
            <w:rPr>
              <w:sz w:val="32"/>
              <w:szCs w:val="32"/>
            </w:rPr>
            <w:t>18</w:t>
          </w:r>
          <w:r>
            <w:rPr>
              <w:sz w:val="32"/>
              <w:szCs w:val="32"/>
            </w:rPr>
            <w:fldChar w:fldCharType="end"/>
          </w:r>
          <w:r>
            <w:rPr>
              <w:sz w:val="32"/>
              <w:szCs w:val="32"/>
            </w:rPr>
            <w:fldChar w:fldCharType="end"/>
          </w:r>
        </w:p>
        <w:p w14:paraId="5A99C07D">
          <w:pPr>
            <w:pStyle w:val="10"/>
            <w:tabs>
              <w:tab w:val="right" w:leader="dot" w:pos="8306"/>
            </w:tabs>
            <w:rPr>
              <w:sz w:val="32"/>
              <w:szCs w:val="32"/>
            </w:rPr>
          </w:pPr>
          <w:r>
            <w:rPr>
              <w:sz w:val="32"/>
              <w:szCs w:val="32"/>
            </w:rPr>
            <w:fldChar w:fldCharType="begin"/>
          </w:r>
          <w:r>
            <w:rPr>
              <w:sz w:val="32"/>
              <w:szCs w:val="32"/>
            </w:rPr>
            <w:instrText xml:space="preserve"> HYPERLINK \l _Toc10080 </w:instrText>
          </w:r>
          <w:r>
            <w:rPr>
              <w:sz w:val="32"/>
              <w:szCs w:val="32"/>
            </w:rPr>
            <w:fldChar w:fldCharType="separate"/>
          </w:r>
          <w:r>
            <w:rPr>
              <w:rFonts w:hint="eastAsia" w:ascii="华文中宋" w:hAnsi="华文中宋" w:eastAsia="华文中宋"/>
              <w:sz w:val="32"/>
              <w:szCs w:val="32"/>
              <w:highlight w:val="none"/>
            </w:rPr>
            <w:t>第三部分 专用合同条款</w:t>
          </w:r>
          <w:r>
            <w:rPr>
              <w:sz w:val="32"/>
              <w:szCs w:val="32"/>
            </w:rPr>
            <w:tab/>
          </w:r>
          <w:r>
            <w:rPr>
              <w:sz w:val="32"/>
              <w:szCs w:val="32"/>
            </w:rPr>
            <w:fldChar w:fldCharType="begin"/>
          </w:r>
          <w:r>
            <w:rPr>
              <w:sz w:val="32"/>
              <w:szCs w:val="32"/>
            </w:rPr>
            <w:instrText xml:space="preserve"> PAGEREF _Toc10080 \h </w:instrText>
          </w:r>
          <w:r>
            <w:rPr>
              <w:sz w:val="32"/>
              <w:szCs w:val="32"/>
            </w:rPr>
            <w:fldChar w:fldCharType="separate"/>
          </w:r>
          <w:r>
            <w:rPr>
              <w:sz w:val="32"/>
              <w:szCs w:val="32"/>
            </w:rPr>
            <w:t>20</w:t>
          </w:r>
          <w:r>
            <w:rPr>
              <w:sz w:val="32"/>
              <w:szCs w:val="32"/>
            </w:rPr>
            <w:fldChar w:fldCharType="end"/>
          </w:r>
          <w:r>
            <w:rPr>
              <w:sz w:val="32"/>
              <w:szCs w:val="32"/>
            </w:rPr>
            <w:fldChar w:fldCharType="end"/>
          </w:r>
        </w:p>
        <w:p w14:paraId="1B8ADAC8">
          <w:pPr>
            <w:rPr>
              <w:sz w:val="32"/>
              <w:szCs w:val="32"/>
            </w:rPr>
          </w:pPr>
          <w:r>
            <w:rPr>
              <w:sz w:val="32"/>
              <w:szCs w:val="32"/>
            </w:rPr>
            <w:fldChar w:fldCharType="end"/>
          </w:r>
        </w:p>
      </w:sdtContent>
    </w:sdt>
    <w:p w14:paraId="36845486">
      <w:pPr>
        <w:rPr>
          <w:rFonts w:hint="eastAsia" w:ascii="华文中宋" w:hAnsi="华文中宋" w:eastAsia="华文中宋"/>
          <w:color w:val="000000"/>
          <w:sz w:val="32"/>
          <w:szCs w:val="32"/>
          <w:highlight w:val="none"/>
        </w:rPr>
      </w:pPr>
    </w:p>
    <w:p w14:paraId="169F069D">
      <w:pPr>
        <w:pStyle w:val="4"/>
        <w:wordWrap w:val="0"/>
        <w:spacing w:before="0" w:after="0" w:line="240" w:lineRule="auto"/>
        <w:ind w:firstLine="0" w:firstLineChars="0"/>
        <w:jc w:val="center"/>
        <w:rPr>
          <w:rFonts w:ascii="华文中宋" w:hAnsi="华文中宋" w:eastAsia="华文中宋"/>
          <w:color w:val="000000"/>
          <w:sz w:val="32"/>
          <w:szCs w:val="32"/>
          <w:highlight w:val="none"/>
        </w:rPr>
      </w:pPr>
      <w:bookmarkStart w:id="0" w:name="_Toc13001"/>
      <w:bookmarkStart w:id="1" w:name="_Toc29159"/>
      <w:bookmarkStart w:id="2" w:name="_Toc21219"/>
      <w:r>
        <w:rPr>
          <w:rFonts w:hint="eastAsia" w:ascii="华文中宋" w:hAnsi="华文中宋" w:eastAsia="华文中宋"/>
          <w:color w:val="000000"/>
          <w:sz w:val="32"/>
          <w:szCs w:val="32"/>
          <w:highlight w:val="none"/>
        </w:rPr>
        <w:t>第一部分 合同协议书</w:t>
      </w:r>
      <w:bookmarkEnd w:id="0"/>
      <w:bookmarkEnd w:id="1"/>
      <w:bookmarkEnd w:id="2"/>
    </w:p>
    <w:p w14:paraId="674766AF">
      <w:pPr>
        <w:wordWrap w:val="0"/>
        <w:snapToGrid w:val="0"/>
        <w:spacing w:line="480" w:lineRule="exact"/>
        <w:ind w:firstLine="641"/>
        <w:rPr>
          <w:rFonts w:hint="eastAsia" w:ascii="仿宋" w:hAnsi="仿宋" w:eastAsia="仿宋"/>
          <w:color w:val="000000"/>
          <w:sz w:val="28"/>
          <w:szCs w:val="28"/>
          <w:highlight w:val="none"/>
        </w:rPr>
      </w:pPr>
    </w:p>
    <w:p w14:paraId="04E19FEB">
      <w:pPr>
        <w:keepNext w:val="0"/>
        <w:keepLines w:val="0"/>
        <w:widowControl/>
        <w:suppressLineNumbers w:val="0"/>
        <w:jc w:val="left"/>
        <w:rPr>
          <w:rFonts w:hint="eastAsia" w:ascii="仿宋" w:hAnsi="仿宋" w:eastAsia="仿宋"/>
          <w:color w:val="000000"/>
          <w:sz w:val="28"/>
          <w:szCs w:val="28"/>
          <w:highlight w:val="none"/>
          <w:u w:val="single"/>
          <w:lang w:val="en-US" w:eastAsia="zh-CN"/>
        </w:rPr>
      </w:pPr>
      <w:r>
        <w:rPr>
          <w:rFonts w:hint="eastAsia" w:ascii="仿宋" w:hAnsi="仿宋" w:eastAsia="仿宋"/>
          <w:color w:val="000000"/>
          <w:sz w:val="28"/>
          <w:szCs w:val="28"/>
          <w:highlight w:val="none"/>
        </w:rPr>
        <w:t>买方：</w:t>
      </w:r>
      <w:r>
        <w:rPr>
          <w:rFonts w:hint="eastAsia" w:ascii="仿宋" w:hAnsi="仿宋" w:eastAsia="仿宋"/>
          <w:color w:val="000000"/>
          <w:sz w:val="28"/>
          <w:szCs w:val="28"/>
          <w:highlight w:val="none"/>
          <w:u w:val="single"/>
          <w:lang w:val="en-US" w:eastAsia="zh-CN"/>
        </w:rPr>
        <w:t>内蒙古智慧运维新能源有限公司</w:t>
      </w:r>
    </w:p>
    <w:p w14:paraId="51FB23D2">
      <w:pPr>
        <w:keepNext w:val="0"/>
        <w:keepLines w:val="0"/>
        <w:widowControl/>
        <w:suppressLineNumbers w:val="0"/>
        <w:jc w:val="left"/>
        <w:rPr>
          <w:rFonts w:hint="default" w:ascii="仿宋" w:hAnsi="仿宋" w:eastAsia="仿宋"/>
          <w:color w:val="000000"/>
          <w:sz w:val="28"/>
          <w:szCs w:val="28"/>
          <w:highlight w:val="none"/>
          <w:u w:val="single"/>
          <w:lang w:val="en-US" w:eastAsia="zh-CN"/>
        </w:rPr>
      </w:pPr>
      <w:r>
        <w:rPr>
          <w:rFonts w:hint="eastAsia" w:ascii="仿宋" w:hAnsi="仿宋" w:eastAsia="仿宋"/>
          <w:color w:val="000000"/>
          <w:sz w:val="28"/>
          <w:szCs w:val="28"/>
          <w:highlight w:val="none"/>
        </w:rPr>
        <w:t>卖方：</w:t>
      </w:r>
      <w:r>
        <w:rPr>
          <w:rFonts w:hint="eastAsia" w:ascii="仿宋" w:hAnsi="仿宋" w:eastAsia="仿宋"/>
          <w:color w:val="000000"/>
          <w:sz w:val="28"/>
          <w:szCs w:val="28"/>
          <w:highlight w:val="none"/>
          <w:u w:val="single"/>
          <w:lang w:val="en-US" w:eastAsia="zh-CN"/>
        </w:rPr>
        <w:t xml:space="preserve">                            </w:t>
      </w:r>
    </w:p>
    <w:p w14:paraId="5BA8CA98">
      <w:pPr>
        <w:wordWrap w:val="0"/>
        <w:snapToGrid w:val="0"/>
        <w:spacing w:line="480" w:lineRule="exact"/>
        <w:ind w:firstLine="641"/>
        <w:rPr>
          <w:rFonts w:ascii="仿宋" w:hAnsi="仿宋" w:eastAsia="仿宋"/>
          <w:color w:val="000000"/>
          <w:sz w:val="28"/>
          <w:szCs w:val="28"/>
          <w:highlight w:val="none"/>
        </w:rPr>
      </w:pPr>
    </w:p>
    <w:p w14:paraId="05B5058B">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鉴于买方拟向卖方采购</w:t>
      </w:r>
      <w:r>
        <w:rPr>
          <w:rFonts w:hint="eastAsia" w:ascii="仿宋" w:hAnsi="仿宋" w:eastAsia="仿宋"/>
          <w:color w:val="000000"/>
          <w:sz w:val="28"/>
          <w:szCs w:val="28"/>
          <w:highlight w:val="none"/>
          <w:u w:val="single"/>
          <w:lang w:val="en-US" w:eastAsia="zh-CN"/>
        </w:rPr>
        <w:t>显示器及网络设备</w:t>
      </w:r>
      <w:r>
        <w:rPr>
          <w:rFonts w:hint="eastAsia" w:ascii="仿宋" w:hAnsi="仿宋" w:eastAsia="仿宋"/>
          <w:color w:val="000000"/>
          <w:sz w:val="28"/>
          <w:szCs w:val="28"/>
          <w:highlight w:val="none"/>
        </w:rPr>
        <w:t>（货物名称）（简称“合同货物”），且卖方同意向买方供应上述合同货物，买卖双方就合同货物的采购订立本协议。</w:t>
      </w:r>
    </w:p>
    <w:p w14:paraId="7B47EFED">
      <w:pPr>
        <w:wordWrap w:val="0"/>
        <w:snapToGrid w:val="0"/>
        <w:spacing w:line="480" w:lineRule="exact"/>
        <w:ind w:firstLine="641"/>
        <w:rPr>
          <w:rFonts w:hint="eastAsia" w:ascii="仿宋" w:hAnsi="仿宋" w:eastAsia="仿宋"/>
          <w:color w:val="000000"/>
          <w:sz w:val="28"/>
          <w:szCs w:val="28"/>
          <w:highlight w:val="none"/>
        </w:rPr>
      </w:pPr>
    </w:p>
    <w:p w14:paraId="497E627B">
      <w:pPr>
        <w:wordWrap w:val="0"/>
        <w:autoSpaceDE w:val="0"/>
        <w:autoSpaceDN w:val="0"/>
        <w:adjustRightInd w:val="0"/>
        <w:snapToGrid w:val="0"/>
        <w:spacing w:line="480" w:lineRule="exact"/>
        <w:ind w:right="-16" w:firstLine="560" w:firstLineChars="200"/>
        <w:jc w:val="left"/>
        <w:rPr>
          <w:rFonts w:hint="eastAsia"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一、词语含义</w:t>
      </w:r>
    </w:p>
    <w:p w14:paraId="64010773">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本协议中所用词语的含义与通用合同条款和专用合同条款中相应词语的含义相同。</w:t>
      </w:r>
    </w:p>
    <w:p w14:paraId="78657576">
      <w:pPr>
        <w:wordWrap w:val="0"/>
        <w:autoSpaceDE w:val="0"/>
        <w:autoSpaceDN w:val="0"/>
        <w:adjustRightInd w:val="0"/>
        <w:snapToGrid w:val="0"/>
        <w:spacing w:line="480" w:lineRule="exact"/>
        <w:ind w:right="-16" w:firstLine="560" w:firstLineChars="200"/>
        <w:jc w:val="left"/>
        <w:rPr>
          <w:rFonts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二、合同组成部分</w:t>
      </w:r>
    </w:p>
    <w:p w14:paraId="7E6E1D3C">
      <w:pPr>
        <w:wordWrap w:val="0"/>
        <w:autoSpaceDE w:val="0"/>
        <w:autoSpaceDN w:val="0"/>
        <w:adjustRightInd w:val="0"/>
        <w:snapToGrid w:val="0"/>
        <w:spacing w:line="480" w:lineRule="exact"/>
        <w:ind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下列文件为合同的组成部分:</w:t>
      </w:r>
    </w:p>
    <w:p w14:paraId="19B07093">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1. 双方在合同履行过程中达成的纪要、协议等文件；</w:t>
      </w:r>
    </w:p>
    <w:p w14:paraId="50853123">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2. 合同协议书及其附件；</w:t>
      </w:r>
    </w:p>
    <w:p w14:paraId="7AE52628">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3. 中标（签约）通知书(如有)；</w:t>
      </w:r>
    </w:p>
    <w:p w14:paraId="4179AED5">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4. 专用合同条款及其附件；</w:t>
      </w:r>
    </w:p>
    <w:p w14:paraId="0310D875">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5．通用合同条款；</w:t>
      </w:r>
    </w:p>
    <w:p w14:paraId="4F2DD040">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6．招标文件和投标文件（如有）；</w:t>
      </w:r>
    </w:p>
    <w:p w14:paraId="4E4C62E4">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7．构成合同的其他文件。</w:t>
      </w:r>
    </w:p>
    <w:p w14:paraId="45811023">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上述组成合同的各项文件应互相解释，互为说明。如有不一致，解释合同文件的优先顺序按照上述文件所列顺序为准。</w:t>
      </w:r>
    </w:p>
    <w:p w14:paraId="23137635">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上述各项合同文件包括合同当事人就该项合同文件所作出的补充和修改，属于同一类内容的文件，应以最新签署的为准。卖方承诺除偏差表释明外已完全响应买方招标文件，若发生投标文件与招标文件不一致的，则买方有权选择以招标文件或投标文件为准。</w:t>
      </w:r>
    </w:p>
    <w:p w14:paraId="3F216E21">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snapToGrid w:val="0"/>
          <w:color w:val="000000"/>
          <w:kern w:val="0"/>
          <w:sz w:val="28"/>
          <w:szCs w:val="28"/>
          <w:highlight w:val="none"/>
        </w:rPr>
        <w:t>在合同订立及履行过程中形成的与合同有关的文件均构成合同文件组成部分，并根据其性质确定优先解释顺序。</w:t>
      </w:r>
    </w:p>
    <w:p w14:paraId="420F9BFA">
      <w:pPr>
        <w:wordWrap w:val="0"/>
        <w:autoSpaceDE w:val="0"/>
        <w:autoSpaceDN w:val="0"/>
        <w:adjustRightInd w:val="0"/>
        <w:snapToGrid w:val="0"/>
        <w:spacing w:line="480" w:lineRule="exact"/>
        <w:ind w:right="-16" w:firstLine="560" w:firstLineChars="200"/>
        <w:jc w:val="left"/>
        <w:rPr>
          <w:rFonts w:hint="eastAsia"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三、合同标的</w:t>
      </w:r>
    </w:p>
    <w:p w14:paraId="3F73E232">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买卖双方在合同中约定的合同货物名称、规格型号、数量等见附件1《已标价合同货物清单》。</w:t>
      </w:r>
    </w:p>
    <w:p w14:paraId="5D77C437">
      <w:pPr>
        <w:wordWrap w:val="0"/>
        <w:autoSpaceDE w:val="0"/>
        <w:autoSpaceDN w:val="0"/>
        <w:adjustRightInd w:val="0"/>
        <w:snapToGrid w:val="0"/>
        <w:spacing w:line="480" w:lineRule="exact"/>
        <w:ind w:right="-16" w:firstLine="560" w:firstLineChars="200"/>
        <w:jc w:val="left"/>
        <w:rPr>
          <w:rFonts w:hint="eastAsia"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四、合同价格与支付</w:t>
      </w:r>
    </w:p>
    <w:p w14:paraId="29CEFFAA">
      <w:pPr>
        <w:keepNext w:val="0"/>
        <w:keepLines w:val="0"/>
        <w:widowControl/>
        <w:suppressLineNumbers w:val="0"/>
        <w:wordWrap w:val="0"/>
        <w:snapToGrid w:val="0"/>
        <w:spacing w:line="480" w:lineRule="exact"/>
        <w:ind w:firstLine="641" w:firstLineChars="0"/>
        <w:jc w:val="left"/>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1.本合同价格为人民币（大写）</w:t>
      </w:r>
      <w:r>
        <w:rPr>
          <w:rFonts w:hint="eastAsia" w:ascii="仿宋" w:hAnsi="仿宋" w:eastAsia="仿宋"/>
          <w:snapToGrid/>
          <w:color w:val="000000"/>
          <w:kern w:val="2"/>
          <w:sz w:val="28"/>
          <w:szCs w:val="28"/>
          <w:highlight w:val="none"/>
          <w:u w:val="single"/>
          <w:lang w:val="en-US" w:eastAsia="zh-CN"/>
        </w:rPr>
        <w:t xml:space="preserve">                 </w:t>
      </w:r>
      <w:r>
        <w:rPr>
          <w:rFonts w:hint="eastAsia" w:ascii="仿宋" w:hAnsi="仿宋" w:eastAsia="仿宋"/>
          <w:color w:val="000000"/>
          <w:sz w:val="28"/>
          <w:szCs w:val="28"/>
          <w:highlight w:val="none"/>
        </w:rPr>
        <w:t>（</w:t>
      </w:r>
      <w:r>
        <w:rPr>
          <w:rFonts w:hint="eastAsia" w:ascii="仿宋" w:hAnsi="仿宋" w:eastAsia="仿宋" w:cs="Times New Roman"/>
          <w:color w:val="000000"/>
          <w:sz w:val="28"/>
          <w:szCs w:val="28"/>
          <w:highlight w:val="none"/>
        </w:rPr>
        <w:t>¥</w:t>
      </w:r>
      <w:r>
        <w:rPr>
          <w:rFonts w:hint="eastAsia" w:ascii="仿宋" w:hAnsi="仿宋" w:eastAsia="仿宋"/>
          <w:color w:val="000000"/>
          <w:sz w:val="28"/>
          <w:szCs w:val="28"/>
          <w:highlight w:val="none"/>
          <w:u w:val="single"/>
          <w:lang w:val="en-US" w:eastAsia="zh-CN"/>
        </w:rPr>
        <w:t xml:space="preserve">       元</w:t>
      </w:r>
      <w:r>
        <w:rPr>
          <w:rFonts w:hint="eastAsia" w:ascii="仿宋" w:hAnsi="仿宋" w:eastAsia="仿宋"/>
          <w:color w:val="000000"/>
          <w:sz w:val="28"/>
          <w:szCs w:val="28"/>
          <w:highlight w:val="none"/>
        </w:rPr>
        <w:t>）（含税）</w:t>
      </w:r>
      <w:r>
        <w:rPr>
          <w:rFonts w:hint="eastAsia" w:ascii="仿宋" w:hAnsi="仿宋" w:eastAsia="仿宋"/>
          <w:color w:val="000000"/>
          <w:sz w:val="28"/>
          <w:szCs w:val="28"/>
          <w:highlight w:val="none"/>
          <w:lang w:val="en-US" w:eastAsia="zh-CN"/>
        </w:rPr>
        <w:t>,</w:t>
      </w:r>
      <w:r>
        <w:rPr>
          <w:rFonts w:hint="eastAsia" w:ascii="仿宋" w:hAnsi="仿宋" w:eastAsia="仿宋"/>
          <w:snapToGrid w:val="0"/>
          <w:color w:val="000000"/>
          <w:kern w:val="0"/>
          <w:sz w:val="28"/>
          <w:szCs w:val="28"/>
          <w:highlight w:val="none"/>
        </w:rPr>
        <w:t>人民币</w:t>
      </w:r>
      <w:r>
        <w:rPr>
          <w:rFonts w:hint="eastAsia" w:ascii="仿宋" w:hAnsi="仿宋" w:eastAsia="仿宋"/>
          <w:snapToGrid w:val="0"/>
          <w:color w:val="000000"/>
          <w:kern w:val="0"/>
          <w:sz w:val="28"/>
          <w:szCs w:val="28"/>
          <w:highlight w:val="none"/>
          <w:u w:val="single"/>
          <w:lang w:val="en-US" w:eastAsia="zh-CN"/>
        </w:rPr>
        <w:t xml:space="preserve">               </w:t>
      </w:r>
      <w:r>
        <w:rPr>
          <w:rFonts w:hint="eastAsia" w:ascii="仿宋" w:hAnsi="仿宋" w:eastAsia="仿宋"/>
          <w:snapToGrid w:val="0"/>
          <w:color w:val="000000"/>
          <w:kern w:val="0"/>
          <w:sz w:val="28"/>
          <w:szCs w:val="28"/>
          <w:highlight w:val="none"/>
        </w:rPr>
        <w:t>（¥</w:t>
      </w:r>
      <w:r>
        <w:rPr>
          <w:rFonts w:hint="eastAsia" w:ascii="仿宋" w:hAnsi="仿宋" w:eastAsia="仿宋"/>
          <w:snapToGrid w:val="0"/>
          <w:color w:val="000000"/>
          <w:kern w:val="0"/>
          <w:sz w:val="28"/>
          <w:szCs w:val="28"/>
          <w:highlight w:val="none"/>
          <w:u w:val="single"/>
          <w:lang w:val="en-US" w:eastAsia="zh-CN"/>
        </w:rPr>
        <w:t xml:space="preserve">         元</w:t>
      </w:r>
      <w:r>
        <w:rPr>
          <w:rFonts w:hint="eastAsia" w:ascii="仿宋" w:hAnsi="仿宋" w:eastAsia="仿宋"/>
          <w:snapToGrid w:val="0"/>
          <w:color w:val="000000"/>
          <w:kern w:val="0"/>
          <w:sz w:val="28"/>
          <w:szCs w:val="28"/>
          <w:highlight w:val="none"/>
        </w:rPr>
        <w:t>）（不含税），税率</w:t>
      </w:r>
      <w:r>
        <w:rPr>
          <w:rFonts w:ascii="仿宋" w:hAnsi="仿宋" w:eastAsia="仿宋"/>
          <w:snapToGrid w:val="0"/>
          <w:color w:val="000000"/>
          <w:kern w:val="0"/>
          <w:sz w:val="28"/>
          <w:szCs w:val="28"/>
          <w:highlight w:val="none"/>
          <w:u w:val="single"/>
        </w:rPr>
        <w:t>13</w:t>
      </w:r>
      <w:r>
        <w:rPr>
          <w:rFonts w:hint="eastAsia" w:ascii="仿宋" w:hAnsi="仿宋" w:eastAsia="仿宋"/>
          <w:snapToGrid w:val="0"/>
          <w:color w:val="000000"/>
          <w:kern w:val="0"/>
          <w:sz w:val="28"/>
          <w:szCs w:val="28"/>
          <w:highlight w:val="none"/>
        </w:rPr>
        <w:t>%</w:t>
      </w:r>
      <w:r>
        <w:rPr>
          <w:rFonts w:hint="eastAsia" w:ascii="仿宋" w:hAnsi="仿宋" w:eastAsia="仿宋"/>
          <w:color w:val="000000"/>
          <w:sz w:val="28"/>
          <w:szCs w:val="28"/>
          <w:highlight w:val="none"/>
        </w:rPr>
        <w:t>。</w:t>
      </w:r>
      <w:r>
        <w:rPr>
          <w:rFonts w:hint="eastAsia" w:ascii="仿宋" w:hAnsi="仿宋" w:eastAsia="仿宋"/>
          <w:snapToGrid w:val="0"/>
          <w:color w:val="000000"/>
          <w:kern w:val="0"/>
          <w:sz w:val="28"/>
          <w:szCs w:val="28"/>
          <w:highlight w:val="none"/>
        </w:rPr>
        <w:t>具体价格构成见《</w:t>
      </w:r>
      <w:r>
        <w:rPr>
          <w:rFonts w:hint="eastAsia" w:ascii="仿宋" w:hAnsi="仿宋" w:eastAsia="仿宋"/>
          <w:color w:val="000000"/>
          <w:sz w:val="28"/>
          <w:szCs w:val="28"/>
          <w:highlight w:val="none"/>
        </w:rPr>
        <w:t>已标价合同货物清单》。合同约定</w:t>
      </w:r>
      <w:r>
        <w:rPr>
          <w:rFonts w:hint="eastAsia" w:ascii="仿宋" w:hAnsi="仿宋" w:eastAsia="仿宋"/>
          <w:color w:val="000000"/>
          <w:sz w:val="28"/>
          <w:szCs w:val="28"/>
          <w:highlight w:val="none"/>
          <w:lang w:val="en-US" w:eastAsia="zh-CN"/>
        </w:rPr>
        <w:t>的</w:t>
      </w:r>
      <w:r>
        <w:rPr>
          <w:rFonts w:hint="eastAsia" w:ascii="仿宋" w:hAnsi="仿宋" w:eastAsia="仿宋"/>
          <w:color w:val="000000"/>
          <w:sz w:val="28"/>
          <w:szCs w:val="28"/>
          <w:highlight w:val="none"/>
        </w:rPr>
        <w:t>税率与国家法律法规及税务机关规定的税率不一致时，对于尚未完成结算且未开具增值税税率发票的部分，按照国家法律法规及税务机关规定的增值税税率调整含税价格，价格调整以不含税</w:t>
      </w:r>
      <w:r>
        <w:rPr>
          <w:rFonts w:hint="eastAsia" w:ascii="仿宋" w:hAnsi="仿宋" w:eastAsia="仿宋"/>
          <w:color w:val="000000"/>
          <w:sz w:val="28"/>
          <w:szCs w:val="28"/>
          <w:highlight w:val="none"/>
          <w:lang w:val="en-US" w:eastAsia="zh-CN"/>
        </w:rPr>
        <w:t>价格</w:t>
      </w:r>
      <w:r>
        <w:rPr>
          <w:rFonts w:hint="eastAsia" w:ascii="仿宋" w:hAnsi="仿宋" w:eastAsia="仿宋"/>
          <w:color w:val="000000"/>
          <w:sz w:val="28"/>
          <w:szCs w:val="28"/>
          <w:highlight w:val="none"/>
        </w:rPr>
        <w:t>为基准。</w:t>
      </w:r>
    </w:p>
    <w:p w14:paraId="26205E16">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2．合同价格支付</w:t>
      </w:r>
    </w:p>
    <w:p w14:paraId="5A310969">
      <w:pPr>
        <w:wordWrap w:val="0"/>
        <w:snapToGrid w:val="0"/>
        <w:spacing w:line="56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卖方凭到货验收单、100%合同价格的增值税专用发票</w:t>
      </w:r>
      <w:r>
        <w:rPr>
          <w:rFonts w:hint="eastAsia" w:ascii="仿宋" w:hAnsi="仿宋" w:eastAsia="仿宋"/>
          <w:color w:val="000000"/>
          <w:sz w:val="28"/>
          <w:szCs w:val="28"/>
          <w:highlight w:val="none"/>
          <w:lang w:val="en-US" w:eastAsia="zh-CN"/>
        </w:rPr>
        <w:t>及合同金额90%的收据后</w:t>
      </w:r>
      <w:r>
        <w:rPr>
          <w:rFonts w:hint="eastAsia" w:ascii="仿宋" w:hAnsi="仿宋" w:eastAsia="仿宋"/>
          <w:color w:val="000000"/>
          <w:sz w:val="28"/>
          <w:szCs w:val="28"/>
          <w:highlight w:val="none"/>
        </w:rPr>
        <w:t>办理支付申请手续，买方在申请手续办理完毕后</w:t>
      </w:r>
      <w:r>
        <w:rPr>
          <w:rFonts w:hint="eastAsia" w:ascii="仿宋" w:hAnsi="仿宋" w:eastAsia="仿宋"/>
          <w:color w:val="000000"/>
          <w:sz w:val="28"/>
          <w:szCs w:val="28"/>
          <w:highlight w:val="none"/>
          <w:lang w:val="en-US" w:eastAsia="zh-CN"/>
        </w:rPr>
        <w:t>6</w:t>
      </w:r>
      <w:r>
        <w:rPr>
          <w:rFonts w:hint="eastAsia" w:ascii="仿宋" w:hAnsi="仿宋" w:eastAsia="仿宋"/>
          <w:color w:val="000000"/>
          <w:sz w:val="28"/>
          <w:szCs w:val="28"/>
          <w:highlight w:val="none"/>
        </w:rPr>
        <w:t>0个工作日内（境外支付的，延长30个工作日）支付</w:t>
      </w:r>
      <w:r>
        <w:rPr>
          <w:rFonts w:hint="eastAsia" w:ascii="仿宋" w:hAnsi="仿宋" w:eastAsia="仿宋"/>
          <w:color w:val="000000"/>
          <w:sz w:val="28"/>
          <w:szCs w:val="28"/>
          <w:highlight w:val="none"/>
          <w:lang w:val="en-US" w:eastAsia="zh-CN"/>
        </w:rPr>
        <w:t>90</w:t>
      </w:r>
      <w:r>
        <w:rPr>
          <w:rFonts w:hint="eastAsia" w:ascii="仿宋" w:hAnsi="仿宋" w:eastAsia="仿宋"/>
          <w:color w:val="000000"/>
          <w:sz w:val="28"/>
          <w:szCs w:val="28"/>
          <w:highlight w:val="none"/>
        </w:rPr>
        <w:t>%的合同价款。</w:t>
      </w:r>
    </w:p>
    <w:p w14:paraId="05E352D8">
      <w:pPr>
        <w:pStyle w:val="2"/>
        <w:spacing w:line="560" w:lineRule="exact"/>
        <w:ind w:left="0" w:leftChars="0" w:firstLine="560" w:firstLineChars="200"/>
        <w:rPr>
          <w:rFonts w:hint="eastAsia" w:ascii="仿宋" w:hAnsi="仿宋" w:eastAsia="仿宋" w:cs="Times New Roman"/>
          <w:color w:val="000000"/>
          <w:szCs w:val="28"/>
          <w:highlight w:val="none"/>
        </w:rPr>
      </w:pPr>
      <w:r>
        <w:rPr>
          <w:rFonts w:hint="eastAsia" w:ascii="仿宋" w:hAnsi="仿宋" w:eastAsia="仿宋" w:cs="Times New Roman"/>
          <w:color w:val="000000"/>
          <w:sz w:val="28"/>
          <w:szCs w:val="28"/>
          <w:highlight w:val="none"/>
        </w:rPr>
        <w:t>合同价款的</w:t>
      </w:r>
      <w:r>
        <w:rPr>
          <w:rFonts w:hint="eastAsia" w:ascii="仿宋" w:hAnsi="仿宋" w:eastAsia="仿宋" w:cs="Times New Roman"/>
          <w:color w:val="000000"/>
          <w:sz w:val="28"/>
          <w:szCs w:val="28"/>
          <w:highlight w:val="none"/>
          <w:lang w:val="en-US" w:eastAsia="zh-CN"/>
        </w:rPr>
        <w:t>剩余10</w:t>
      </w:r>
      <w:r>
        <w:rPr>
          <w:rFonts w:hint="eastAsia" w:ascii="仿宋" w:hAnsi="仿宋" w:eastAsia="仿宋" w:cs="Times New Roman"/>
          <w:color w:val="000000"/>
          <w:sz w:val="28"/>
          <w:szCs w:val="28"/>
          <w:highlight w:val="none"/>
        </w:rPr>
        <w:t>%作为质量保证金（质保金），用于担保合同货物的质量。合同货物质量保证期满，并</w:t>
      </w:r>
      <w:r>
        <w:rPr>
          <w:rFonts w:hint="eastAsia" w:ascii="仿宋" w:hAnsi="仿宋" w:eastAsia="仿宋" w:cs="Times New Roman"/>
          <w:color w:val="000000"/>
          <w:sz w:val="28"/>
          <w:szCs w:val="28"/>
          <w:highlight w:val="none"/>
          <w:lang w:val="en-US" w:eastAsia="zh-CN"/>
        </w:rPr>
        <w:t>经买方验收合格</w:t>
      </w:r>
      <w:r>
        <w:rPr>
          <w:rFonts w:hint="eastAsia" w:ascii="仿宋" w:hAnsi="仿宋" w:eastAsia="仿宋" w:cs="Times New Roman"/>
          <w:color w:val="000000"/>
          <w:sz w:val="28"/>
          <w:szCs w:val="28"/>
          <w:highlight w:val="none"/>
        </w:rPr>
        <w:t>无质量问题或质量问题及时解决后，卖方办理支付</w:t>
      </w:r>
      <w:r>
        <w:rPr>
          <w:rFonts w:hint="eastAsia" w:ascii="仿宋" w:hAnsi="仿宋" w:eastAsia="仿宋" w:cs="Times New Roman"/>
          <w:color w:val="000000"/>
          <w:sz w:val="28"/>
          <w:szCs w:val="28"/>
          <w:highlight w:val="none"/>
          <w:lang w:val="en-US" w:eastAsia="zh-CN"/>
        </w:rPr>
        <w:t>质保金</w:t>
      </w:r>
      <w:r>
        <w:rPr>
          <w:rFonts w:hint="eastAsia" w:ascii="仿宋" w:hAnsi="仿宋" w:eastAsia="仿宋" w:cs="Times New Roman"/>
          <w:color w:val="000000"/>
          <w:sz w:val="28"/>
          <w:szCs w:val="28"/>
          <w:highlight w:val="none"/>
        </w:rPr>
        <w:t>申请手续。</w:t>
      </w:r>
    </w:p>
    <w:p w14:paraId="26704A2C">
      <w:pPr>
        <w:wordWrap w:val="0"/>
        <w:autoSpaceDE w:val="0"/>
        <w:autoSpaceDN w:val="0"/>
        <w:adjustRightInd w:val="0"/>
        <w:snapToGrid w:val="0"/>
        <w:spacing w:line="480" w:lineRule="exact"/>
        <w:ind w:right="-16" w:firstLine="560" w:firstLineChars="200"/>
        <w:jc w:val="left"/>
        <w:rPr>
          <w:rFonts w:hint="eastAsia"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五、交货</w:t>
      </w:r>
    </w:p>
    <w:p w14:paraId="49843880">
      <w:pPr>
        <w:wordWrap w:val="0"/>
        <w:snapToGrid w:val="0"/>
        <w:spacing w:line="48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1．交货时间</w:t>
      </w:r>
      <w:r>
        <w:rPr>
          <w:rFonts w:hint="eastAsia" w:ascii="仿宋" w:hAnsi="仿宋" w:eastAsia="仿宋"/>
          <w:color w:val="000000"/>
          <w:sz w:val="28"/>
          <w:szCs w:val="28"/>
          <w:highlight w:val="none"/>
          <w:lang w:val="en-US" w:eastAsia="zh-CN"/>
        </w:rPr>
        <w:t>为合同签订之日起</w:t>
      </w:r>
      <w:r>
        <w:rPr>
          <w:rFonts w:hint="eastAsia" w:ascii="仿宋" w:hAnsi="仿宋" w:eastAsia="仿宋"/>
          <w:color w:val="000000"/>
          <w:sz w:val="28"/>
          <w:szCs w:val="28"/>
          <w:highlight w:val="none"/>
          <w:u w:val="single"/>
          <w:lang w:val="en-US" w:eastAsia="zh-CN"/>
        </w:rPr>
        <w:t>30</w:t>
      </w:r>
      <w:r>
        <w:rPr>
          <w:rFonts w:hint="eastAsia" w:ascii="仿宋" w:hAnsi="仿宋" w:eastAsia="仿宋"/>
          <w:color w:val="000000"/>
          <w:sz w:val="28"/>
          <w:szCs w:val="28"/>
          <w:highlight w:val="none"/>
        </w:rPr>
        <w:t>日</w:t>
      </w:r>
      <w:r>
        <w:rPr>
          <w:rFonts w:hint="eastAsia" w:ascii="仿宋" w:hAnsi="仿宋" w:eastAsia="仿宋"/>
          <w:color w:val="000000"/>
          <w:sz w:val="28"/>
          <w:szCs w:val="28"/>
          <w:highlight w:val="none"/>
          <w:lang w:val="en-US" w:eastAsia="zh-CN"/>
        </w:rPr>
        <w:t>内</w:t>
      </w:r>
      <w:r>
        <w:rPr>
          <w:rFonts w:hint="eastAsia" w:ascii="仿宋" w:hAnsi="仿宋" w:eastAsia="仿宋"/>
          <w:color w:val="000000"/>
          <w:sz w:val="28"/>
          <w:szCs w:val="28"/>
          <w:highlight w:val="none"/>
        </w:rPr>
        <w:t>。具体交货日期按照附件1《已标价合同货物清单》规定执行。</w:t>
      </w:r>
    </w:p>
    <w:p w14:paraId="1FEB57DB">
      <w:pPr>
        <w:wordWrap w:val="0"/>
        <w:snapToGrid w:val="0"/>
        <w:spacing w:line="480" w:lineRule="exact"/>
        <w:ind w:left="210" w:leftChars="100" w:firstLine="420" w:firstLineChars="15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2．交货地点：</w:t>
      </w:r>
      <w:r>
        <w:rPr>
          <w:rFonts w:hint="eastAsia" w:ascii="仿宋" w:hAnsi="仿宋" w:eastAsia="仿宋"/>
          <w:color w:val="000000"/>
          <w:sz w:val="28"/>
          <w:szCs w:val="28"/>
          <w:highlight w:val="none"/>
          <w:u w:val="single"/>
          <w:lang w:val="en-US" w:eastAsia="zh-CN"/>
        </w:rPr>
        <w:t>买方指定地点</w:t>
      </w:r>
      <w:r>
        <w:rPr>
          <w:rFonts w:hint="eastAsia" w:ascii="仿宋" w:hAnsi="仿宋" w:eastAsia="仿宋"/>
          <w:color w:val="000000"/>
          <w:sz w:val="28"/>
          <w:szCs w:val="28"/>
          <w:highlight w:val="none"/>
        </w:rPr>
        <w:t>。</w:t>
      </w:r>
    </w:p>
    <w:p w14:paraId="5DEC61FC">
      <w:pPr>
        <w:wordWrap w:val="0"/>
        <w:snapToGrid w:val="0"/>
        <w:spacing w:line="480" w:lineRule="exact"/>
        <w:ind w:firstLine="560" w:firstLineChars="200"/>
        <w:rPr>
          <w:rFonts w:hint="eastAsia" w:ascii="仿宋" w:hAnsi="仿宋" w:eastAsia="仿宋"/>
          <w:color w:val="000000"/>
          <w:sz w:val="28"/>
          <w:szCs w:val="28"/>
          <w:highlight w:val="none"/>
        </w:rPr>
      </w:pPr>
      <w:r>
        <w:rPr>
          <w:rFonts w:hint="eastAsia" w:ascii="黑体" w:hAnsi="黑体" w:eastAsia="黑体"/>
          <w:snapToGrid w:val="0"/>
          <w:sz w:val="28"/>
          <w:szCs w:val="28"/>
          <w:highlight w:val="none"/>
        </w:rPr>
        <w:t>六、质量保证</w:t>
      </w:r>
    </w:p>
    <w:p w14:paraId="45F14E8D">
      <w:pPr>
        <w:wordWrap w:val="0"/>
        <w:snapToGrid w:val="0"/>
        <w:spacing w:line="480" w:lineRule="exact"/>
        <w:ind w:firstLine="641"/>
        <w:rPr>
          <w:rFonts w:hint="eastAsia" w:ascii="仿宋" w:hAnsi="仿宋" w:eastAsia="仿宋"/>
          <w:snapToGrid w:val="0"/>
          <w:color w:val="000000"/>
          <w:kern w:val="0"/>
          <w:sz w:val="28"/>
          <w:szCs w:val="28"/>
          <w:highlight w:val="none"/>
        </w:rPr>
      </w:pPr>
      <w:r>
        <w:rPr>
          <w:rFonts w:hint="eastAsia" w:ascii="仿宋" w:hAnsi="仿宋" w:eastAsia="仿宋"/>
          <w:color w:val="000000"/>
          <w:sz w:val="28"/>
          <w:szCs w:val="28"/>
          <w:highlight w:val="none"/>
          <w:u w:val="single"/>
          <w:lang w:val="en-US" w:eastAsia="zh-CN"/>
        </w:rPr>
        <w:t>12</w:t>
      </w:r>
      <w:r>
        <w:rPr>
          <w:rFonts w:hint="eastAsia" w:ascii="仿宋" w:hAnsi="仿宋" w:eastAsia="仿宋"/>
          <w:snapToGrid w:val="0"/>
          <w:color w:val="000000"/>
          <w:kern w:val="0"/>
          <w:sz w:val="28"/>
          <w:szCs w:val="28"/>
          <w:highlight w:val="none"/>
        </w:rPr>
        <w:t>个月（含本数）的质量保证。其他关于质量保证的约定见通用合同条款。</w:t>
      </w:r>
    </w:p>
    <w:p w14:paraId="0F7301FA">
      <w:pPr>
        <w:wordWrap w:val="0"/>
        <w:autoSpaceDE w:val="0"/>
        <w:autoSpaceDN w:val="0"/>
        <w:adjustRightInd w:val="0"/>
        <w:snapToGrid w:val="0"/>
        <w:spacing w:line="480" w:lineRule="exact"/>
        <w:ind w:right="-16" w:firstLine="560" w:firstLineChars="200"/>
        <w:jc w:val="left"/>
        <w:rPr>
          <w:rFonts w:hint="eastAsia"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七、承诺</w:t>
      </w:r>
    </w:p>
    <w:p w14:paraId="5DAE13ED">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1</w:t>
      </w:r>
      <w:r>
        <w:rPr>
          <w:rFonts w:hint="eastAsia" w:ascii="仿宋" w:hAnsi="仿宋" w:eastAsia="仿宋"/>
          <w:snapToGrid w:val="0"/>
          <w:color w:val="000000"/>
          <w:kern w:val="0"/>
          <w:sz w:val="28"/>
          <w:szCs w:val="28"/>
          <w:highlight w:val="none"/>
          <w:lang w:eastAsia="zh-CN"/>
        </w:rPr>
        <w:t>.</w:t>
      </w:r>
      <w:r>
        <w:rPr>
          <w:rFonts w:hint="eastAsia" w:ascii="仿宋" w:hAnsi="仿宋" w:eastAsia="仿宋"/>
          <w:snapToGrid w:val="0"/>
          <w:color w:val="000000"/>
          <w:kern w:val="0"/>
          <w:sz w:val="28"/>
          <w:szCs w:val="28"/>
          <w:highlight w:val="none"/>
        </w:rPr>
        <w:t>卖方承诺按合同约定向买方提供符合要求的合同货物和服务。</w:t>
      </w:r>
    </w:p>
    <w:p w14:paraId="502EAD7B">
      <w:pPr>
        <w:wordWrap w:val="0"/>
        <w:adjustRightInd w:val="0"/>
        <w:snapToGrid w:val="0"/>
        <w:spacing w:line="480" w:lineRule="exact"/>
        <w:ind w:firstLine="560" w:firstLineChars="200"/>
        <w:rPr>
          <w:rFonts w:hint="eastAsia" w:ascii="仿宋" w:hAnsi="仿宋" w:eastAsia="仿宋"/>
          <w:color w:val="000000"/>
          <w:sz w:val="28"/>
          <w:szCs w:val="28"/>
          <w:highlight w:val="none"/>
        </w:rPr>
      </w:pPr>
      <w:r>
        <w:rPr>
          <w:rFonts w:hint="eastAsia" w:ascii="仿宋" w:hAnsi="仿宋" w:eastAsia="仿宋"/>
          <w:snapToGrid w:val="0"/>
          <w:color w:val="000000"/>
          <w:sz w:val="28"/>
          <w:szCs w:val="28"/>
          <w:highlight w:val="none"/>
        </w:rPr>
        <w:t>2</w:t>
      </w:r>
      <w:r>
        <w:rPr>
          <w:rFonts w:hint="eastAsia" w:ascii="仿宋" w:hAnsi="仿宋" w:eastAsia="仿宋"/>
          <w:snapToGrid w:val="0"/>
          <w:sz w:val="28"/>
          <w:highlight w:val="none"/>
        </w:rPr>
        <w:t>.未经买方</w:t>
      </w:r>
      <w:r>
        <w:rPr>
          <w:rFonts w:hint="eastAsia" w:ascii="仿宋" w:hAnsi="仿宋" w:eastAsia="仿宋"/>
          <w:snapToGrid w:val="0"/>
          <w:sz w:val="28"/>
          <w:highlight w:val="none"/>
          <w:lang w:val="en-US" w:eastAsia="zh-CN"/>
        </w:rPr>
        <w:t>书面</w:t>
      </w:r>
      <w:r>
        <w:rPr>
          <w:rFonts w:hint="eastAsia" w:ascii="仿宋" w:hAnsi="仿宋" w:eastAsia="仿宋"/>
          <w:snapToGrid w:val="0"/>
          <w:sz w:val="28"/>
          <w:highlight w:val="none"/>
        </w:rPr>
        <w:t>同意，卖方不得将本合同项下的债权（合同价款及其他权利）转让给任何第三方、向任何第三方提供担保或者办理保理事项。如买方同意卖方将本合同项下的应收账款债权转让、质押或者办理保理，买方应及时确认卖方的应收账款债权确权请求。卖方应收账款债权确权请求中应当列明转让或用于担保的应收账款的范围、金额等应收账款信息，同时明确告知买方应收账款的受让方、被担保方及其指定的应收账款收款账户等</w:t>
      </w:r>
      <w:r>
        <w:rPr>
          <w:rFonts w:hint="eastAsia" w:ascii="仿宋" w:hAnsi="仿宋" w:eastAsia="仿宋"/>
          <w:sz w:val="28"/>
          <w:highlight w:val="none"/>
        </w:rPr>
        <w:t>。</w:t>
      </w:r>
    </w:p>
    <w:p w14:paraId="2FAE1FEC">
      <w:pPr>
        <w:wordWrap w:val="0"/>
        <w:autoSpaceDE w:val="0"/>
        <w:autoSpaceDN w:val="0"/>
        <w:adjustRightInd w:val="0"/>
        <w:snapToGrid w:val="0"/>
        <w:spacing w:line="480" w:lineRule="exact"/>
        <w:ind w:right="-16" w:firstLine="560" w:firstLineChars="200"/>
        <w:jc w:val="left"/>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sz w:val="28"/>
          <w:szCs w:val="28"/>
          <w:highlight w:val="none"/>
        </w:rPr>
        <w:t>3．买方按合同约定向卖方支付合同价款。</w:t>
      </w:r>
    </w:p>
    <w:p w14:paraId="6E020F0F">
      <w:pPr>
        <w:wordWrap w:val="0"/>
        <w:autoSpaceDE w:val="0"/>
        <w:autoSpaceDN w:val="0"/>
        <w:adjustRightInd w:val="0"/>
        <w:snapToGrid w:val="0"/>
        <w:spacing w:line="480" w:lineRule="exact"/>
        <w:ind w:right="-16" w:firstLine="560" w:firstLineChars="200"/>
        <w:jc w:val="left"/>
        <w:rPr>
          <w:rFonts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八、争议解决</w:t>
      </w:r>
    </w:p>
    <w:p w14:paraId="687A58C1">
      <w:pPr>
        <w:wordWrap w:val="0"/>
        <w:snapToGrid w:val="0"/>
        <w:spacing w:line="480" w:lineRule="exact"/>
        <w:ind w:firstLine="641"/>
        <w:rPr>
          <w:rFonts w:ascii="仿宋" w:hAnsi="仿宋" w:eastAsia="仿宋"/>
          <w:color w:val="000000"/>
          <w:sz w:val="28"/>
          <w:szCs w:val="28"/>
          <w:highlight w:val="none"/>
        </w:rPr>
      </w:pPr>
      <w:r>
        <w:rPr>
          <w:rFonts w:hint="eastAsia" w:ascii="仿宋" w:hAnsi="仿宋" w:eastAsia="仿宋"/>
          <w:snapToGrid w:val="0"/>
          <w:color w:val="000000"/>
          <w:kern w:val="0"/>
          <w:sz w:val="28"/>
          <w:szCs w:val="28"/>
          <w:highlight w:val="none"/>
        </w:rPr>
        <w:t>双方发生争议时，应首先通过友好协商解决；协商不成的，向买方所在地有管辖权的人民法院提起诉讼。</w:t>
      </w:r>
    </w:p>
    <w:p w14:paraId="42D844F9">
      <w:pPr>
        <w:wordWrap w:val="0"/>
        <w:autoSpaceDE w:val="0"/>
        <w:autoSpaceDN w:val="0"/>
        <w:adjustRightInd w:val="0"/>
        <w:snapToGrid w:val="0"/>
        <w:spacing w:line="480" w:lineRule="exact"/>
        <w:ind w:right="-16" w:firstLine="560" w:firstLineChars="200"/>
        <w:jc w:val="left"/>
        <w:rPr>
          <w:rFonts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九、生效</w:t>
      </w:r>
    </w:p>
    <w:p w14:paraId="4CB10D00">
      <w:pPr>
        <w:wordWrap w:val="0"/>
        <w:autoSpaceDE w:val="0"/>
        <w:autoSpaceDN w:val="0"/>
        <w:adjustRightInd w:val="0"/>
        <w:snapToGrid w:val="0"/>
        <w:spacing w:line="480" w:lineRule="exact"/>
        <w:ind w:firstLine="560" w:firstLineChars="200"/>
        <w:jc w:val="left"/>
        <w:rPr>
          <w:rFonts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本合同经双方法定代表人（负责人）或其授权代表签署并加盖双方公章或合同专用章之日起生效。合同签订日期以最后一方签署并加盖公章或合同专用章的日期为准。</w:t>
      </w:r>
    </w:p>
    <w:p w14:paraId="50004BBF">
      <w:pPr>
        <w:wordWrap w:val="0"/>
        <w:autoSpaceDE w:val="0"/>
        <w:autoSpaceDN w:val="0"/>
        <w:adjustRightInd w:val="0"/>
        <w:snapToGrid w:val="0"/>
        <w:spacing w:line="480" w:lineRule="exact"/>
        <w:ind w:right="-16" w:firstLine="560" w:firstLineChars="200"/>
        <w:jc w:val="left"/>
        <w:rPr>
          <w:rFonts w:ascii="黑体" w:hAnsi="黑体" w:eastAsia="黑体"/>
          <w:snapToGrid w:val="0"/>
          <w:color w:val="000000"/>
          <w:kern w:val="0"/>
          <w:sz w:val="28"/>
          <w:szCs w:val="28"/>
          <w:highlight w:val="none"/>
        </w:rPr>
      </w:pPr>
      <w:r>
        <w:rPr>
          <w:rFonts w:hint="eastAsia" w:ascii="黑体" w:hAnsi="黑体" w:eastAsia="黑体"/>
          <w:snapToGrid w:val="0"/>
          <w:color w:val="000000"/>
          <w:kern w:val="0"/>
          <w:sz w:val="28"/>
          <w:szCs w:val="28"/>
          <w:highlight w:val="none"/>
        </w:rPr>
        <w:t>十、份数</w:t>
      </w:r>
    </w:p>
    <w:p w14:paraId="35EDBB80">
      <w:pPr>
        <w:wordWrap w:val="0"/>
        <w:snapToGrid w:val="0"/>
        <w:spacing w:line="480" w:lineRule="exact"/>
        <w:ind w:firstLine="641"/>
        <w:rPr>
          <w:rFonts w:hint="eastAsia"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t>本合同一式</w:t>
      </w:r>
      <w:r>
        <w:rPr>
          <w:rFonts w:hint="eastAsia" w:ascii="仿宋" w:hAnsi="仿宋" w:eastAsia="仿宋"/>
          <w:snapToGrid w:val="0"/>
          <w:color w:val="000000"/>
          <w:kern w:val="0"/>
          <w:sz w:val="28"/>
          <w:szCs w:val="28"/>
          <w:highlight w:val="none"/>
          <w:u w:val="single"/>
          <w:lang w:val="en-US" w:eastAsia="zh-CN"/>
        </w:rPr>
        <w:t>8</w:t>
      </w:r>
      <w:r>
        <w:rPr>
          <w:rFonts w:hint="eastAsia" w:ascii="仿宋" w:hAnsi="仿宋" w:eastAsia="仿宋"/>
          <w:snapToGrid w:val="0"/>
          <w:color w:val="000000"/>
          <w:kern w:val="0"/>
          <w:sz w:val="28"/>
          <w:szCs w:val="28"/>
          <w:highlight w:val="none"/>
        </w:rPr>
        <w:t>份，买方执</w:t>
      </w:r>
      <w:r>
        <w:rPr>
          <w:rFonts w:hint="eastAsia" w:ascii="仿宋" w:hAnsi="仿宋" w:eastAsia="仿宋"/>
          <w:snapToGrid w:val="0"/>
          <w:color w:val="000000"/>
          <w:kern w:val="0"/>
          <w:sz w:val="28"/>
          <w:szCs w:val="28"/>
          <w:highlight w:val="none"/>
          <w:u w:val="single"/>
          <w:lang w:val="en-US" w:eastAsia="zh-CN"/>
        </w:rPr>
        <w:t>6</w:t>
      </w:r>
      <w:r>
        <w:rPr>
          <w:rFonts w:hint="eastAsia" w:ascii="仿宋" w:hAnsi="仿宋" w:eastAsia="仿宋"/>
          <w:snapToGrid w:val="0"/>
          <w:color w:val="000000"/>
          <w:kern w:val="0"/>
          <w:sz w:val="28"/>
          <w:szCs w:val="28"/>
          <w:highlight w:val="none"/>
        </w:rPr>
        <w:t>份</w:t>
      </w:r>
      <w:r>
        <w:rPr>
          <w:rFonts w:hint="eastAsia" w:ascii="仿宋" w:hAnsi="仿宋" w:eastAsia="仿宋"/>
          <w:snapToGrid w:val="0"/>
          <w:color w:val="000000"/>
          <w:kern w:val="0"/>
          <w:sz w:val="28"/>
          <w:szCs w:val="28"/>
          <w:highlight w:val="none"/>
          <w:lang w:eastAsia="zh-CN"/>
        </w:rPr>
        <w:t>（</w:t>
      </w:r>
      <w:r>
        <w:rPr>
          <w:rFonts w:hint="eastAsia" w:ascii="仿宋" w:hAnsi="仿宋" w:eastAsia="仿宋"/>
          <w:snapToGrid w:val="0"/>
          <w:color w:val="000000"/>
          <w:kern w:val="0"/>
          <w:sz w:val="28"/>
          <w:szCs w:val="28"/>
          <w:highlight w:val="none"/>
          <w:lang w:val="en-US" w:eastAsia="zh-CN"/>
        </w:rPr>
        <w:t>正本4份、副本2份</w:t>
      </w:r>
      <w:r>
        <w:rPr>
          <w:rFonts w:hint="eastAsia" w:ascii="仿宋" w:hAnsi="仿宋" w:eastAsia="仿宋"/>
          <w:snapToGrid w:val="0"/>
          <w:color w:val="000000"/>
          <w:kern w:val="0"/>
          <w:sz w:val="28"/>
          <w:szCs w:val="28"/>
          <w:highlight w:val="none"/>
          <w:lang w:eastAsia="zh-CN"/>
        </w:rPr>
        <w:t>）</w:t>
      </w:r>
      <w:r>
        <w:rPr>
          <w:rFonts w:hint="eastAsia" w:ascii="仿宋" w:hAnsi="仿宋" w:eastAsia="仿宋"/>
          <w:snapToGrid w:val="0"/>
          <w:color w:val="000000"/>
          <w:kern w:val="0"/>
          <w:sz w:val="28"/>
          <w:szCs w:val="28"/>
          <w:highlight w:val="none"/>
        </w:rPr>
        <w:t>，卖方执</w:t>
      </w:r>
      <w:r>
        <w:rPr>
          <w:rFonts w:hint="eastAsia" w:ascii="仿宋" w:hAnsi="仿宋" w:eastAsia="仿宋"/>
          <w:snapToGrid w:val="0"/>
          <w:color w:val="000000"/>
          <w:kern w:val="0"/>
          <w:sz w:val="28"/>
          <w:szCs w:val="28"/>
          <w:highlight w:val="none"/>
          <w:u w:val="single"/>
          <w:lang w:val="en-US" w:eastAsia="zh-CN"/>
        </w:rPr>
        <w:t xml:space="preserve"> 2</w:t>
      </w:r>
      <w:r>
        <w:rPr>
          <w:rFonts w:hint="eastAsia" w:ascii="仿宋" w:hAnsi="仿宋" w:eastAsia="仿宋"/>
          <w:snapToGrid w:val="0"/>
          <w:color w:val="000000"/>
          <w:kern w:val="0"/>
          <w:sz w:val="28"/>
          <w:szCs w:val="28"/>
          <w:highlight w:val="none"/>
          <w:u w:val="single"/>
        </w:rPr>
        <w:t xml:space="preserve"> </w:t>
      </w:r>
      <w:r>
        <w:rPr>
          <w:rFonts w:hint="eastAsia" w:ascii="仿宋" w:hAnsi="仿宋" w:eastAsia="仿宋"/>
          <w:snapToGrid w:val="0"/>
          <w:color w:val="000000"/>
          <w:kern w:val="0"/>
          <w:sz w:val="28"/>
          <w:szCs w:val="28"/>
          <w:highlight w:val="none"/>
        </w:rPr>
        <w:t>份，具有同等法律效力。</w:t>
      </w:r>
    </w:p>
    <w:p w14:paraId="443EE0F0">
      <w:pPr>
        <w:wordWrap w:val="0"/>
        <w:snapToGrid w:val="0"/>
        <w:spacing w:line="480" w:lineRule="exact"/>
        <w:ind w:firstLine="641"/>
        <w:rPr>
          <w:rFonts w:ascii="仿宋" w:hAnsi="仿宋" w:eastAsia="仿宋"/>
          <w:color w:val="000000"/>
          <w:sz w:val="28"/>
          <w:szCs w:val="28"/>
        </w:rPr>
      </w:pPr>
      <w:bookmarkStart w:id="3" w:name="OLE_LINK3"/>
      <w:r>
        <w:rPr>
          <w:rFonts w:hint="eastAsia" w:ascii="仿宋" w:hAnsi="仿宋" w:eastAsia="仿宋"/>
          <w:color w:val="000000"/>
          <w:sz w:val="28"/>
          <w:szCs w:val="28"/>
        </w:rPr>
        <w:t>后附：</w:t>
      </w:r>
    </w:p>
    <w:p w14:paraId="07888675">
      <w:pPr>
        <w:numPr>
          <w:ilvl w:val="0"/>
          <w:numId w:val="1"/>
        </w:numPr>
        <w:wordWrap w:val="0"/>
        <w:snapToGrid w:val="0"/>
        <w:spacing w:line="480" w:lineRule="exact"/>
        <w:ind w:firstLine="641"/>
        <w:rPr>
          <w:rFonts w:ascii="仿宋" w:hAnsi="仿宋" w:eastAsia="仿宋"/>
          <w:color w:val="000000"/>
          <w:sz w:val="28"/>
          <w:szCs w:val="28"/>
        </w:rPr>
      </w:pPr>
      <w:r>
        <w:rPr>
          <w:rFonts w:hint="eastAsia" w:ascii="仿宋" w:hAnsi="仿宋" w:eastAsia="仿宋"/>
          <w:color w:val="000000"/>
          <w:sz w:val="28"/>
          <w:szCs w:val="28"/>
        </w:rPr>
        <w:t>《附件1：已标价合同货物清单格式》</w:t>
      </w:r>
    </w:p>
    <w:p w14:paraId="7886A7B7">
      <w:pPr>
        <w:numPr>
          <w:ilvl w:val="0"/>
          <w:numId w:val="1"/>
        </w:numPr>
        <w:wordWrap w:val="0"/>
        <w:snapToGrid w:val="0"/>
        <w:spacing w:line="480" w:lineRule="exact"/>
        <w:ind w:firstLine="641"/>
        <w:rPr>
          <w:rFonts w:ascii="仿宋" w:hAnsi="仿宋" w:eastAsia="仿宋"/>
          <w:color w:val="000000"/>
          <w:sz w:val="28"/>
          <w:szCs w:val="28"/>
        </w:rPr>
      </w:pPr>
      <w:r>
        <w:rPr>
          <w:rFonts w:hint="eastAsia" w:ascii="仿宋" w:hAnsi="仿宋" w:eastAsia="仿宋"/>
          <w:color w:val="000000"/>
          <w:sz w:val="28"/>
          <w:szCs w:val="28"/>
        </w:rPr>
        <w:t>《第二部分 通用合同条款》</w:t>
      </w:r>
    </w:p>
    <w:p w14:paraId="5BFA4552">
      <w:pPr>
        <w:numPr>
          <w:ilvl w:val="0"/>
          <w:numId w:val="1"/>
        </w:numPr>
        <w:wordWrap w:val="0"/>
        <w:snapToGrid w:val="0"/>
        <w:spacing w:line="480" w:lineRule="exact"/>
        <w:ind w:firstLine="641"/>
        <w:rPr>
          <w:rFonts w:ascii="仿宋" w:hAnsi="仿宋" w:eastAsia="仿宋"/>
          <w:color w:val="000000"/>
          <w:sz w:val="28"/>
          <w:szCs w:val="28"/>
        </w:rPr>
      </w:pPr>
      <w:r>
        <w:rPr>
          <w:rFonts w:hint="eastAsia" w:ascii="仿宋" w:hAnsi="仿宋" w:eastAsia="仿宋"/>
          <w:color w:val="000000"/>
          <w:sz w:val="28"/>
          <w:szCs w:val="28"/>
        </w:rPr>
        <w:t>《第三部分 专用合同条款》</w:t>
      </w:r>
    </w:p>
    <w:p w14:paraId="49553605">
      <w:pPr>
        <w:numPr>
          <w:ilvl w:val="0"/>
          <w:numId w:val="1"/>
        </w:numPr>
        <w:wordWrap w:val="0"/>
        <w:snapToGrid w:val="0"/>
        <w:spacing w:line="480" w:lineRule="exact"/>
        <w:ind w:firstLine="641"/>
        <w:rPr>
          <w:rFonts w:ascii="仿宋" w:hAnsi="仿宋" w:eastAsia="仿宋"/>
          <w:color w:val="000000"/>
          <w:sz w:val="28"/>
          <w:szCs w:val="28"/>
        </w:rPr>
      </w:pPr>
      <w:r>
        <w:rPr>
          <w:rFonts w:hint="eastAsia" w:ascii="仿宋" w:hAnsi="仿宋" w:eastAsia="仿宋"/>
          <w:color w:val="000000"/>
          <w:sz w:val="28"/>
          <w:szCs w:val="28"/>
        </w:rPr>
        <w:t>《廉洁协议协议》</w:t>
      </w:r>
      <w:bookmarkEnd w:id="3"/>
    </w:p>
    <w:p w14:paraId="5C286045">
      <w:pPr>
        <w:pStyle w:val="2"/>
        <w:ind w:left="0" w:leftChars="0" w:firstLine="0" w:firstLineChars="0"/>
        <w:rPr>
          <w:rFonts w:hint="eastAsia"/>
        </w:rPr>
      </w:pPr>
    </w:p>
    <w:p w14:paraId="35475A35">
      <w:pPr>
        <w:wordWrap w:val="0"/>
        <w:snapToGrid w:val="0"/>
        <w:spacing w:line="48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（以下无正文</w:t>
      </w:r>
      <w:r>
        <w:rPr>
          <w:rFonts w:hint="eastAsia" w:ascii="仿宋" w:hAnsi="仿宋" w:eastAsia="仿宋"/>
          <w:color w:val="000000"/>
          <w:sz w:val="28"/>
          <w:szCs w:val="28"/>
        </w:rPr>
        <w:t>为本协议签署页及附件</w:t>
      </w:r>
      <w:r>
        <w:rPr>
          <w:rFonts w:hint="eastAsia" w:ascii="仿宋" w:hAnsi="仿宋" w:eastAsia="仿宋"/>
          <w:color w:val="000000"/>
          <w:sz w:val="28"/>
          <w:szCs w:val="28"/>
          <w:highlight w:val="none"/>
        </w:rPr>
        <w:t>）</w:t>
      </w:r>
    </w:p>
    <w:p w14:paraId="67A494E9">
      <w:pPr>
        <w:wordWrap w:val="0"/>
        <w:snapToGrid w:val="0"/>
        <w:jc w:val="center"/>
        <w:rPr>
          <w:rFonts w:hint="eastAsia" w:ascii="仿宋" w:hAnsi="仿宋" w:eastAsia="仿宋"/>
          <w:b/>
          <w:color w:val="000000"/>
          <w:sz w:val="28"/>
          <w:szCs w:val="28"/>
          <w:highlight w:val="none"/>
        </w:rPr>
      </w:pPr>
      <w:r>
        <w:rPr>
          <w:rFonts w:ascii="仿宋" w:hAnsi="仿宋" w:eastAsia="仿宋"/>
          <w:color w:val="000000"/>
          <w:sz w:val="28"/>
          <w:szCs w:val="28"/>
          <w:highlight w:val="none"/>
        </w:rPr>
        <w:br w:type="page"/>
      </w:r>
      <w:r>
        <w:rPr>
          <w:rFonts w:hint="eastAsia" w:ascii="华文中宋" w:hAnsi="华文中宋" w:eastAsia="华文中宋"/>
          <w:b/>
          <w:color w:val="000000"/>
          <w:sz w:val="32"/>
          <w:szCs w:val="32"/>
          <w:highlight w:val="none"/>
        </w:rPr>
        <w:t>签 署 页</w:t>
      </w:r>
    </w:p>
    <w:tbl>
      <w:tblPr>
        <w:tblStyle w:val="13"/>
        <w:tblW w:w="850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286"/>
        <w:gridCol w:w="4222"/>
      </w:tblGrid>
      <w:tr w14:paraId="19910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top"/>
          </w:tcPr>
          <w:p w14:paraId="13A058C0">
            <w:pPr>
              <w:keepNext w:val="0"/>
              <w:keepLines w:val="0"/>
              <w:widowControl/>
              <w:suppressLineNumbers w:val="0"/>
              <w:jc w:val="both"/>
              <w:textAlignment w:val="top"/>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买方：内蒙古智慧运维新能源有限公司</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br w:type="textWrapping"/>
            </w:r>
          </w:p>
          <w:p w14:paraId="4AC6EC21">
            <w:pPr>
              <w:pStyle w:val="17"/>
              <w:rPr>
                <w:rFonts w:hint="eastAsia"/>
                <w:highlight w:val="none"/>
                <w:lang w:val="en-US" w:eastAsia="zh-CN"/>
              </w:rPr>
            </w:pPr>
          </w:p>
          <w:p w14:paraId="2D3777B2">
            <w:pPr>
              <w:keepNext w:val="0"/>
              <w:keepLines w:val="0"/>
              <w:widowControl/>
              <w:suppressLineNumbers w:val="0"/>
              <w:jc w:val="both"/>
              <w:textAlignment w:val="top"/>
              <w:rPr>
                <w:rFonts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（盖章） </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B968F01">
            <w:pPr>
              <w:keepNext w:val="0"/>
              <w:keepLines w:val="0"/>
              <w:widowControl/>
              <w:suppressLineNumbers w:val="0"/>
              <w:jc w:val="both"/>
              <w:textAlignment w:val="top"/>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卖方：</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br w:type="textWrapping"/>
            </w:r>
          </w:p>
          <w:p w14:paraId="75621741">
            <w:pPr>
              <w:pStyle w:val="17"/>
              <w:rPr>
                <w:rFonts w:hint="eastAsia"/>
                <w:highlight w:val="none"/>
                <w:lang w:val="en-US" w:eastAsia="zh-CN"/>
              </w:rPr>
            </w:pPr>
          </w:p>
          <w:p w14:paraId="03B007DA">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（盖章） </w:t>
            </w:r>
          </w:p>
        </w:tc>
      </w:tr>
      <w:tr w14:paraId="3E04C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CDB6">
            <w:pPr>
              <w:keepNext w:val="0"/>
              <w:keepLines w:val="0"/>
              <w:widowControl/>
              <w:suppressLineNumbers w:val="0"/>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法定代表人（负责人）或授权代表（签字）：</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br w:type="textWrapping"/>
            </w:r>
          </w:p>
          <w:p w14:paraId="126056FD">
            <w:pPr>
              <w:pStyle w:val="17"/>
              <w:rPr>
                <w:rFonts w:hint="eastAsia"/>
                <w:sz w:val="24"/>
                <w:szCs w:val="24"/>
                <w:highlight w:val="none"/>
                <w:lang w:val="en-US" w:eastAsia="zh-CN"/>
              </w:rPr>
            </w:pPr>
          </w:p>
          <w:p w14:paraId="5C72A64E">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签订日期：2026年    月    日</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3938F03">
            <w:pPr>
              <w:keepNext w:val="0"/>
              <w:keepLines w:val="0"/>
              <w:widowControl/>
              <w:suppressLineNumbers w:val="0"/>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法定代表人（负责人）或授权代表（签字）：</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br w:type="textWrapping"/>
            </w:r>
          </w:p>
          <w:p w14:paraId="6E807C78">
            <w:pPr>
              <w:pStyle w:val="17"/>
              <w:rPr>
                <w:rFonts w:hint="eastAsia"/>
                <w:sz w:val="24"/>
                <w:szCs w:val="24"/>
                <w:highlight w:val="none"/>
                <w:lang w:val="en-US" w:eastAsia="zh-CN"/>
              </w:rPr>
            </w:pPr>
          </w:p>
          <w:p w14:paraId="56B552B0">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签订日期：2026年    月    日</w:t>
            </w:r>
          </w:p>
        </w:tc>
      </w:tr>
      <w:tr w14:paraId="0B194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2F828">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地址</w:t>
            </w:r>
            <w:r>
              <w:rPr>
                <w:kern w:val="0"/>
                <w:sz w:val="24"/>
                <w:szCs w:val="24"/>
                <w:highlight w:val="none"/>
                <w:lang w:val="en-US" w:eastAsia="zh-CN" w:bidi="ar"/>
              </w:rPr>
              <w:t>：</w:t>
            </w:r>
            <w:r>
              <w:rPr>
                <w:rFonts w:hint="eastAsia" w:ascii="仿宋" w:hAnsi="仿宋" w:eastAsia="仿宋" w:cs="仿宋"/>
                <w:kern w:val="0"/>
                <w:sz w:val="24"/>
                <w:szCs w:val="24"/>
                <w:highlight w:val="none"/>
                <w:lang w:val="en-US" w:eastAsia="zh-CN" w:bidi="ar"/>
              </w:rPr>
              <w:t>内蒙古自治区呼和浩特市赛罕区万正广场C座20楼</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FAD8A16">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地址：</w:t>
            </w:r>
          </w:p>
        </w:tc>
      </w:tr>
      <w:tr w14:paraId="1DBD4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B3798">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联系人：张东</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0DF33">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联系人：</w:t>
            </w:r>
          </w:p>
        </w:tc>
      </w:tr>
      <w:tr w14:paraId="40D31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E7C16">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电话：13190602040</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50C8C">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电话：</w:t>
            </w:r>
          </w:p>
        </w:tc>
      </w:tr>
      <w:tr w14:paraId="21713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ED1ED">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传真：</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E481C">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传真：</w:t>
            </w:r>
          </w:p>
        </w:tc>
      </w:tr>
      <w:tr w14:paraId="1AC80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88DA9">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Email：</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127DD">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Email：</w:t>
            </w:r>
          </w:p>
        </w:tc>
      </w:tr>
      <w:tr w14:paraId="69295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top"/>
          </w:tcPr>
          <w:p w14:paraId="2A0BE60F">
            <w:pPr>
              <w:keepNext w:val="0"/>
              <w:keepLines w:val="0"/>
              <w:widowControl/>
              <w:suppressLineNumbers w:val="0"/>
              <w:jc w:val="both"/>
              <w:textAlignment w:val="top"/>
              <w:rPr>
                <w:rFonts w:hint="default" w:ascii="仿宋" w:hAnsi="仿宋" w:eastAsia="仿宋" w:cs="仿宋"/>
                <w:i w:val="0"/>
                <w:iCs w:val="0"/>
                <w:color w:val="000000"/>
                <w:sz w:val="24"/>
                <w:szCs w:val="24"/>
                <w:highlight w:val="none"/>
                <w:u w:val="none"/>
                <w:lang w:val="en-US"/>
              </w:rPr>
            </w:pPr>
            <w:r>
              <w:rPr>
                <w:rFonts w:hint="eastAsia" w:ascii="仿宋" w:hAnsi="仿宋" w:eastAsia="仿宋" w:cs="仿宋"/>
                <w:i w:val="0"/>
                <w:iCs w:val="0"/>
                <w:color w:val="000000"/>
                <w:kern w:val="0"/>
                <w:sz w:val="24"/>
                <w:szCs w:val="24"/>
                <w:highlight w:val="none"/>
                <w:u w:val="none"/>
                <w:lang w:val="en-US" w:eastAsia="zh-CN" w:bidi="ar"/>
              </w:rPr>
              <w:t>开户银行：兴业银行股份有限公司呼和浩特金桥支行</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0780D922">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开户银行：</w:t>
            </w:r>
          </w:p>
        </w:tc>
      </w:tr>
      <w:tr w14:paraId="75EB5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4FEF">
            <w:pPr>
              <w:keepNext w:val="0"/>
              <w:keepLines w:val="0"/>
              <w:widowControl/>
              <w:suppressLineNumbers w:val="0"/>
              <w:jc w:val="both"/>
              <w:textAlignment w:val="center"/>
              <w:rPr>
                <w:rFonts w:hint="default" w:ascii="仿宋" w:hAnsi="仿宋" w:eastAsia="仿宋" w:cs="仿宋"/>
                <w:i w:val="0"/>
                <w:iCs w:val="0"/>
                <w:color w:val="000000"/>
                <w:sz w:val="24"/>
                <w:szCs w:val="24"/>
                <w:highlight w:val="none"/>
                <w:u w:val="none"/>
                <w:lang w:val="en-US"/>
              </w:rPr>
            </w:pPr>
            <w:r>
              <w:rPr>
                <w:rStyle w:val="18"/>
                <w:sz w:val="24"/>
                <w:szCs w:val="24"/>
                <w:highlight w:val="none"/>
                <w:lang w:val="en-US" w:eastAsia="zh-CN" w:bidi="ar"/>
              </w:rPr>
              <w:t>账号：</w:t>
            </w:r>
            <w:r>
              <w:rPr>
                <w:rStyle w:val="18"/>
                <w:rFonts w:hint="eastAsia"/>
                <w:sz w:val="24"/>
                <w:szCs w:val="24"/>
                <w:highlight w:val="none"/>
                <w:lang w:val="en-US" w:eastAsia="zh-CN" w:bidi="ar"/>
              </w:rPr>
              <w:t>592060100100250477</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87073">
            <w:pPr>
              <w:keepNext w:val="0"/>
              <w:keepLines w:val="0"/>
              <w:widowControl/>
              <w:suppressLineNumbers w:val="0"/>
              <w:jc w:val="both"/>
              <w:textAlignment w:val="center"/>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账号：</w:t>
            </w:r>
          </w:p>
        </w:tc>
      </w:tr>
      <w:tr w14:paraId="42355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top"/>
          </w:tcPr>
          <w:p w14:paraId="50255734">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统一社会信用代码</w:t>
            </w:r>
            <w:r>
              <w:rPr>
                <w:rStyle w:val="18"/>
                <w:sz w:val="24"/>
                <w:szCs w:val="24"/>
                <w:highlight w:val="none"/>
                <w:lang w:val="en-US" w:eastAsia="zh-CN" w:bidi="ar"/>
              </w:rPr>
              <w:t>：</w:t>
            </w:r>
            <w:r>
              <w:rPr>
                <w:rStyle w:val="18"/>
                <w:sz w:val="24"/>
                <w:szCs w:val="24"/>
                <w:highlight w:val="none"/>
                <w:lang w:val="en-US" w:eastAsia="zh-CN" w:bidi="ar"/>
              </w:rPr>
              <w:br w:type="textWrapping"/>
            </w:r>
            <w:r>
              <w:rPr>
                <w:rStyle w:val="18"/>
                <w:sz w:val="24"/>
                <w:szCs w:val="24"/>
                <w:highlight w:val="none"/>
                <w:lang w:val="en-US" w:eastAsia="zh-CN" w:bidi="ar"/>
              </w:rPr>
              <w:t>91150000MA7MNXJKX3</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2E86C86">
            <w:pPr>
              <w:keepNext w:val="0"/>
              <w:keepLines w:val="0"/>
              <w:widowControl/>
              <w:suppressLineNumbers w:val="0"/>
              <w:jc w:val="left"/>
              <w:textAlignment w:val="top"/>
              <w:rPr>
                <w:rFonts w:hint="eastAsia" w:ascii="仿宋" w:hAnsi="仿宋" w:eastAsia="仿宋" w:cs="仿宋"/>
                <w:i w:val="0"/>
                <w:iCs w:val="0"/>
                <w:color w:val="000000"/>
                <w:sz w:val="24"/>
                <w:szCs w:val="24"/>
                <w:highlight w:val="none"/>
                <w:u w:val="none"/>
              </w:rPr>
            </w:pPr>
            <w:r>
              <w:rPr>
                <w:rStyle w:val="20"/>
                <w:sz w:val="24"/>
                <w:szCs w:val="24"/>
                <w:highlight w:val="none"/>
                <w:lang w:val="en-US" w:eastAsia="zh-CN" w:bidi="ar"/>
              </w:rPr>
              <w:t>统一社会信用代码</w:t>
            </w:r>
            <w:r>
              <w:rPr>
                <w:rStyle w:val="18"/>
                <w:sz w:val="24"/>
                <w:szCs w:val="24"/>
                <w:highlight w:val="none"/>
                <w:lang w:val="en-US" w:eastAsia="zh-CN" w:bidi="ar"/>
              </w:rPr>
              <w:t>：</w:t>
            </w:r>
          </w:p>
        </w:tc>
      </w:tr>
      <w:tr w14:paraId="13456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top"/>
          </w:tcPr>
          <w:p w14:paraId="222339E8">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开户行地址：</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0AF1A595">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开户行地址：</w:t>
            </w:r>
          </w:p>
        </w:tc>
      </w:tr>
      <w:tr w14:paraId="726E6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4286" w:type="dxa"/>
            <w:tcBorders>
              <w:top w:val="single" w:color="000000" w:sz="4" w:space="0"/>
              <w:left w:val="single" w:color="000000" w:sz="4" w:space="0"/>
              <w:bottom w:val="single" w:color="000000" w:sz="4" w:space="0"/>
              <w:right w:val="single" w:color="000000" w:sz="4" w:space="0"/>
            </w:tcBorders>
            <w:shd w:val="clear" w:color="auto" w:fill="auto"/>
            <w:vAlign w:val="top"/>
          </w:tcPr>
          <w:p w14:paraId="009DE17F">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开户行联行号：</w:t>
            </w:r>
          </w:p>
        </w:tc>
        <w:tc>
          <w:tcPr>
            <w:tcW w:w="4222" w:type="dxa"/>
            <w:tcBorders>
              <w:top w:val="single" w:color="000000" w:sz="4" w:space="0"/>
              <w:left w:val="single" w:color="000000" w:sz="4" w:space="0"/>
              <w:bottom w:val="single" w:color="000000" w:sz="4" w:space="0"/>
              <w:right w:val="single" w:color="000000" w:sz="4" w:space="0"/>
            </w:tcBorders>
            <w:shd w:val="clear" w:color="auto" w:fill="auto"/>
            <w:vAlign w:val="top"/>
          </w:tcPr>
          <w:p w14:paraId="034732E7">
            <w:pPr>
              <w:keepNext w:val="0"/>
              <w:keepLines w:val="0"/>
              <w:widowControl/>
              <w:suppressLineNumbers w:val="0"/>
              <w:jc w:val="both"/>
              <w:textAlignment w:val="top"/>
              <w:rPr>
                <w:rFonts w:hint="eastAsia" w:ascii="仿宋" w:hAnsi="仿宋" w:eastAsia="仿宋" w:cs="仿宋"/>
                <w:i w:val="0"/>
                <w:iCs w:val="0"/>
                <w:color w:val="000000"/>
                <w:sz w:val="24"/>
                <w:szCs w:val="24"/>
                <w:highlight w:val="none"/>
                <w:u w:val="none"/>
              </w:rPr>
            </w:pPr>
            <w:r>
              <w:rPr>
                <w:rStyle w:val="18"/>
                <w:sz w:val="24"/>
                <w:szCs w:val="24"/>
                <w:highlight w:val="none"/>
                <w:lang w:val="en-US" w:eastAsia="zh-CN" w:bidi="ar"/>
              </w:rPr>
              <w:t>开户行联行号：</w:t>
            </w:r>
          </w:p>
        </w:tc>
      </w:tr>
    </w:tbl>
    <w:p w14:paraId="755A496E">
      <w:pPr>
        <w:wordWrap w:val="0"/>
        <w:snapToGrid w:val="0"/>
        <w:spacing w:line="480" w:lineRule="exact"/>
        <w:rPr>
          <w:rFonts w:ascii="仿宋" w:hAnsi="仿宋" w:eastAsia="仿宋"/>
          <w:color w:val="000000"/>
          <w:sz w:val="28"/>
          <w:szCs w:val="28"/>
          <w:highlight w:val="none"/>
        </w:rPr>
      </w:pPr>
    </w:p>
    <w:p w14:paraId="0FF3B538">
      <w:pPr>
        <w:wordWrap w:val="0"/>
        <w:autoSpaceDE w:val="0"/>
        <w:autoSpaceDN w:val="0"/>
        <w:adjustRightInd w:val="0"/>
        <w:snapToGrid w:val="0"/>
        <w:spacing w:line="480" w:lineRule="exact"/>
        <w:ind w:right="-16"/>
        <w:rPr>
          <w:rFonts w:ascii="仿宋" w:hAnsi="仿宋" w:eastAsia="仿宋"/>
          <w:b/>
          <w:color w:val="000000"/>
          <w:sz w:val="28"/>
          <w:szCs w:val="28"/>
          <w:highlight w:val="none"/>
        </w:rPr>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pPr>
    </w:p>
    <w:p w14:paraId="5FB882AE">
      <w:pPr>
        <w:wordWrap w:val="0"/>
        <w:autoSpaceDE w:val="0"/>
        <w:autoSpaceDN w:val="0"/>
        <w:adjustRightInd w:val="0"/>
        <w:snapToGrid w:val="0"/>
        <w:spacing w:line="480" w:lineRule="exact"/>
        <w:ind w:right="-16"/>
        <w:rPr>
          <w:rFonts w:ascii="黑体" w:hAnsi="黑体" w:eastAsia="黑体"/>
          <w:color w:val="000000"/>
          <w:sz w:val="28"/>
          <w:szCs w:val="28"/>
          <w:highlight w:val="none"/>
        </w:rPr>
      </w:pPr>
      <w:r>
        <w:rPr>
          <w:rFonts w:hint="eastAsia" w:ascii="黑体" w:hAnsi="黑体" w:eastAsia="黑体"/>
          <w:color w:val="000000"/>
          <w:sz w:val="28"/>
          <w:szCs w:val="28"/>
          <w:highlight w:val="none"/>
        </w:rPr>
        <w:t>附件1：已标价合同货物清单格式</w:t>
      </w:r>
    </w:p>
    <w:p w14:paraId="50169681">
      <w:pPr>
        <w:wordWrap w:val="0"/>
        <w:spacing w:line="480" w:lineRule="exact"/>
        <w:jc w:val="center"/>
        <w:rPr>
          <w:rFonts w:ascii="仿宋" w:hAnsi="仿宋" w:eastAsia="仿宋"/>
          <w:b/>
          <w:color w:val="000000"/>
          <w:sz w:val="28"/>
          <w:szCs w:val="28"/>
          <w:highlight w:val="none"/>
        </w:rPr>
      </w:pPr>
    </w:p>
    <w:p w14:paraId="37224AD3">
      <w:pPr>
        <w:wordWrap w:val="0"/>
        <w:autoSpaceDE w:val="0"/>
        <w:autoSpaceDN w:val="0"/>
        <w:adjustRightInd w:val="0"/>
        <w:snapToGrid w:val="0"/>
        <w:spacing w:line="480" w:lineRule="exact"/>
        <w:ind w:right="-16"/>
        <w:jc w:val="center"/>
        <w:rPr>
          <w:rFonts w:ascii="仿宋" w:hAnsi="仿宋" w:eastAsia="仿宋"/>
          <w:color w:val="000000"/>
          <w:sz w:val="28"/>
          <w:szCs w:val="28"/>
          <w:highlight w:val="none"/>
        </w:rPr>
      </w:pPr>
      <w:r>
        <w:rPr>
          <w:rFonts w:hint="eastAsia" w:ascii="仿宋" w:hAnsi="仿宋" w:eastAsia="仿宋"/>
          <w:b/>
          <w:bCs/>
          <w:color w:val="000000"/>
          <w:sz w:val="28"/>
          <w:szCs w:val="28"/>
          <w:highlight w:val="none"/>
        </w:rPr>
        <w:t>已标价合同货物清单</w:t>
      </w:r>
    </w:p>
    <w:tbl>
      <w:tblPr>
        <w:tblStyle w:val="13"/>
        <w:tblW w:w="1377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753"/>
        <w:gridCol w:w="1175"/>
        <w:gridCol w:w="1270"/>
        <w:gridCol w:w="1280"/>
        <w:gridCol w:w="1350"/>
        <w:gridCol w:w="761"/>
        <w:gridCol w:w="723"/>
        <w:gridCol w:w="1253"/>
        <w:gridCol w:w="1372"/>
        <w:gridCol w:w="2362"/>
        <w:gridCol w:w="1479"/>
      </w:tblGrid>
      <w:tr w14:paraId="77BD4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809FB">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序号</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AC30A">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所属区域</w:t>
            </w:r>
          </w:p>
        </w:tc>
        <w:tc>
          <w:tcPr>
            <w:tcW w:w="12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C7B7C">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所属场站</w:t>
            </w:r>
          </w:p>
        </w:tc>
        <w:tc>
          <w:tcPr>
            <w:tcW w:w="1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0877A">
            <w:pPr>
              <w:keepNext w:val="0"/>
              <w:keepLines w:val="0"/>
              <w:widowControl/>
              <w:suppressLineNumbers w:val="0"/>
              <w:spacing w:line="240" w:lineRule="exact"/>
              <w:jc w:val="center"/>
              <w:textAlignment w:val="center"/>
              <w:rPr>
                <w:rFonts w:hint="default" w:ascii="宋体" w:hAnsi="宋体" w:eastAsia="宋体" w:cs="宋体"/>
                <w:i w:val="0"/>
                <w:color w:val="000000"/>
                <w:sz w:val="15"/>
                <w:szCs w:val="15"/>
                <w:u w:val="none"/>
                <w:lang w:val="en-US"/>
              </w:rPr>
            </w:pPr>
            <w:bookmarkStart w:id="4" w:name="OLE_LINK2"/>
            <w:r>
              <w:rPr>
                <w:rFonts w:hint="eastAsia" w:ascii="宋体" w:hAnsi="宋体" w:eastAsia="宋体" w:cs="宋体"/>
                <w:i w:val="0"/>
                <w:color w:val="auto"/>
                <w:kern w:val="0"/>
                <w:sz w:val="15"/>
                <w:szCs w:val="15"/>
                <w:u w:val="none"/>
                <w:lang w:val="en-US" w:eastAsia="zh-CN" w:bidi="ar"/>
              </w:rPr>
              <w:t>物料</w:t>
            </w:r>
            <w:bookmarkEnd w:id="4"/>
            <w:r>
              <w:rPr>
                <w:rFonts w:hint="eastAsia" w:ascii="宋体" w:hAnsi="宋体" w:cs="宋体"/>
                <w:i w:val="0"/>
                <w:color w:val="auto"/>
                <w:kern w:val="0"/>
                <w:sz w:val="15"/>
                <w:szCs w:val="15"/>
                <w:u w:val="none"/>
                <w:lang w:val="en-US" w:eastAsia="zh-CN" w:bidi="ar"/>
              </w:rPr>
              <w:t>组</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FE64B">
            <w:pPr>
              <w:keepNext w:val="0"/>
              <w:keepLines w:val="0"/>
              <w:widowControl/>
              <w:suppressLineNumbers w:val="0"/>
              <w:spacing w:line="240" w:lineRule="exact"/>
              <w:jc w:val="center"/>
              <w:textAlignment w:val="center"/>
              <w:rPr>
                <w:rFonts w:hint="default" w:ascii="宋体" w:hAnsi="宋体" w:eastAsia="宋体" w:cs="宋体"/>
                <w:i w:val="0"/>
                <w:color w:val="000000"/>
                <w:sz w:val="15"/>
                <w:szCs w:val="15"/>
                <w:u w:val="none"/>
                <w:lang w:val="en-US"/>
              </w:rPr>
            </w:pPr>
            <w:r>
              <w:rPr>
                <w:rFonts w:hint="eastAsia" w:ascii="宋体" w:hAnsi="宋体" w:eastAsia="宋体" w:cs="宋体"/>
                <w:i w:val="0"/>
                <w:color w:val="000000"/>
                <w:kern w:val="0"/>
                <w:sz w:val="15"/>
                <w:szCs w:val="15"/>
                <w:u w:val="none"/>
                <w:lang w:val="en-US" w:eastAsia="zh-CN" w:bidi="ar"/>
              </w:rPr>
              <w:t>物料</w:t>
            </w:r>
            <w:r>
              <w:rPr>
                <w:rFonts w:hint="eastAsia" w:ascii="宋体" w:hAnsi="宋体" w:cs="宋体"/>
                <w:i w:val="0"/>
                <w:color w:val="000000"/>
                <w:kern w:val="0"/>
                <w:sz w:val="15"/>
                <w:szCs w:val="15"/>
                <w:u w:val="none"/>
                <w:lang w:val="en-US" w:eastAsia="zh-CN" w:bidi="ar"/>
              </w:rPr>
              <w:t>描述</w:t>
            </w:r>
          </w:p>
        </w:tc>
        <w:tc>
          <w:tcPr>
            <w:tcW w:w="7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FB32D">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单位</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D1E0C">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数量</w:t>
            </w:r>
          </w:p>
        </w:tc>
        <w:tc>
          <w:tcPr>
            <w:tcW w:w="12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2CAF8">
            <w:pPr>
              <w:keepNext w:val="0"/>
              <w:keepLines w:val="0"/>
              <w:widowControl/>
              <w:suppressLineNumbers w:val="0"/>
              <w:spacing w:line="240" w:lineRule="exact"/>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单价（含税）</w:t>
            </w:r>
          </w:p>
          <w:p w14:paraId="756699A8">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（人民币元）</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9F03B">
            <w:pPr>
              <w:keepNext w:val="0"/>
              <w:keepLines w:val="0"/>
              <w:widowControl/>
              <w:suppressLineNumbers w:val="0"/>
              <w:spacing w:line="240" w:lineRule="exact"/>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总价（含税）</w:t>
            </w:r>
          </w:p>
          <w:p w14:paraId="7976B5F1">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（人民币元）</w:t>
            </w:r>
          </w:p>
        </w:tc>
        <w:tc>
          <w:tcPr>
            <w:tcW w:w="23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70994">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供货地址</w:t>
            </w:r>
          </w:p>
        </w:tc>
        <w:tc>
          <w:tcPr>
            <w:tcW w:w="14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17FD5">
            <w:pPr>
              <w:keepNext w:val="0"/>
              <w:keepLines w:val="0"/>
              <w:widowControl/>
              <w:suppressLineNumbers w:val="0"/>
              <w:spacing w:line="240" w:lineRule="exact"/>
              <w:jc w:val="center"/>
              <w:textAlignment w:val="center"/>
              <w:rPr>
                <w:rFonts w:hint="default" w:ascii="宋体" w:hAnsi="宋体" w:eastAsia="宋体" w:cs="宋体"/>
                <w:i w:val="0"/>
                <w:color w:val="000000"/>
                <w:kern w:val="0"/>
                <w:sz w:val="15"/>
                <w:szCs w:val="15"/>
                <w:u w:val="none"/>
                <w:lang w:val="en-US" w:eastAsia="zh-CN" w:bidi="ar"/>
              </w:rPr>
            </w:pPr>
            <w:r>
              <w:rPr>
                <w:rFonts w:hint="eastAsia" w:ascii="宋体" w:hAnsi="宋体" w:cs="宋体"/>
                <w:i w:val="0"/>
                <w:color w:val="000000"/>
                <w:kern w:val="0"/>
                <w:sz w:val="15"/>
                <w:szCs w:val="15"/>
                <w:u w:val="none"/>
                <w:lang w:val="en-US" w:eastAsia="zh-CN" w:bidi="ar"/>
              </w:rPr>
              <w:t>备注</w:t>
            </w:r>
          </w:p>
        </w:tc>
      </w:tr>
      <w:tr w14:paraId="14524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51E54">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1175" w:type="dxa"/>
            <w:vMerge w:val="restart"/>
            <w:tcBorders>
              <w:top w:val="single" w:color="000000" w:sz="4" w:space="0"/>
              <w:left w:val="single" w:color="000000" w:sz="4" w:space="0"/>
              <w:right w:val="single" w:color="000000" w:sz="4" w:space="0"/>
            </w:tcBorders>
            <w:shd w:val="clear" w:color="auto" w:fill="auto"/>
            <w:noWrap/>
            <w:tcMar>
              <w:top w:w="15" w:type="dxa"/>
              <w:left w:w="15" w:type="dxa"/>
              <w:right w:w="15" w:type="dxa"/>
            </w:tcMar>
            <w:vAlign w:val="center"/>
          </w:tcPr>
          <w:p w14:paraId="309F3A2B">
            <w:pPr>
              <w:spacing w:line="240" w:lineRule="exact"/>
              <w:jc w:val="center"/>
              <w:rPr>
                <w:rFonts w:hint="eastAsia" w:ascii="宋体" w:hAnsi="宋体" w:eastAsia="宋体" w:cs="宋体"/>
                <w:i w:val="0"/>
                <w:color w:val="000000"/>
                <w:sz w:val="15"/>
                <w:szCs w:val="15"/>
                <w:u w:val="none"/>
                <w:lang w:val="en-US" w:eastAsia="zh-CN"/>
              </w:rPr>
            </w:pPr>
            <w:r>
              <w:rPr>
                <w:rFonts w:hint="eastAsia" w:ascii="宋体" w:hAnsi="宋体" w:cs="宋体"/>
                <w:i w:val="0"/>
                <w:color w:val="000000"/>
                <w:sz w:val="15"/>
                <w:szCs w:val="15"/>
                <w:u w:val="none"/>
                <w:lang w:val="en-US" w:eastAsia="zh-CN"/>
              </w:rPr>
              <w:t>本部</w:t>
            </w:r>
          </w:p>
        </w:tc>
        <w:tc>
          <w:tcPr>
            <w:tcW w:w="12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11F0B0">
            <w:pPr>
              <w:spacing w:line="240" w:lineRule="exact"/>
              <w:jc w:val="center"/>
              <w:rPr>
                <w:rFonts w:hint="eastAsia" w:ascii="宋体" w:hAnsi="宋体" w:eastAsia="宋体" w:cs="宋体"/>
                <w:i w:val="0"/>
                <w:color w:val="000000"/>
                <w:sz w:val="15"/>
                <w:szCs w:val="15"/>
                <w:u w:val="none"/>
                <w:lang w:val="en-US" w:eastAsia="zh-CN"/>
              </w:rPr>
            </w:pPr>
            <w:r>
              <w:rPr>
                <w:rFonts w:hint="eastAsia" w:ascii="宋体" w:hAnsi="宋体" w:cs="宋体"/>
                <w:i w:val="0"/>
                <w:color w:val="000000"/>
                <w:sz w:val="15"/>
                <w:szCs w:val="15"/>
                <w:u w:val="none"/>
                <w:lang w:val="en-US" w:eastAsia="zh-CN"/>
              </w:rPr>
              <w:t>集控中心</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A34D5">
            <w:pPr>
              <w:spacing w:line="240" w:lineRule="exact"/>
              <w:jc w:val="center"/>
              <w:rPr>
                <w:rFonts w:hint="eastAsia" w:ascii="宋体" w:hAnsi="宋体" w:eastAsia="宋体" w:cs="宋体"/>
                <w:i w:val="0"/>
                <w:color w:val="000000"/>
                <w:sz w:val="15"/>
                <w:szCs w:val="15"/>
                <w:u w:val="none"/>
              </w:rPr>
            </w:pPr>
            <w:r>
              <w:rPr>
                <w:rFonts w:hint="eastAsia"/>
              </w:rPr>
              <w:t>C090401</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479F9">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color w:val="000000"/>
                <w:sz w:val="15"/>
                <w:szCs w:val="15"/>
                <w:u w:val="none"/>
              </w:rPr>
              <w:t>显示器（每台需附带支架）</w:t>
            </w:r>
          </w:p>
          <w:p w14:paraId="5097FA03">
            <w:pPr>
              <w:spacing w:line="240" w:lineRule="exact"/>
              <w:jc w:val="center"/>
              <w:rPr>
                <w:rFonts w:hint="eastAsia" w:ascii="宋体" w:hAnsi="宋体" w:eastAsia="宋体" w:cs="宋体"/>
                <w:i w:val="0"/>
                <w:color w:val="000000"/>
                <w:sz w:val="15"/>
                <w:szCs w:val="15"/>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B2994">
            <w:pPr>
              <w:spacing w:line="240" w:lineRule="exact"/>
              <w:jc w:val="center"/>
              <w:rPr>
                <w:rFonts w:hint="eastAsia" w:ascii="宋体" w:hAnsi="宋体" w:eastAsia="宋体" w:cs="宋体"/>
                <w:i w:val="0"/>
                <w:color w:val="000000"/>
                <w:sz w:val="15"/>
                <w:szCs w:val="15"/>
                <w:u w:val="none"/>
              </w:rPr>
            </w:pPr>
            <w:r>
              <w:rPr>
                <w:rFonts w:hint="eastAsia"/>
              </w:rPr>
              <w:t>台</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F2215">
            <w:pPr>
              <w:spacing w:line="240" w:lineRule="exact"/>
              <w:jc w:val="center"/>
              <w:rPr>
                <w:rFonts w:hint="eastAsia" w:ascii="宋体" w:hAnsi="宋体" w:eastAsia="宋体" w:cs="宋体"/>
                <w:i w:val="0"/>
                <w:color w:val="000000"/>
                <w:sz w:val="15"/>
                <w:szCs w:val="15"/>
                <w:u w:val="none"/>
              </w:rPr>
            </w:pPr>
            <w:r>
              <w:rPr>
                <w:rFonts w:hint="eastAsia"/>
              </w:rPr>
              <w:t>6</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5C64D">
            <w:pPr>
              <w:spacing w:line="240" w:lineRule="exact"/>
              <w:jc w:val="center"/>
              <w:rPr>
                <w:rFonts w:hint="eastAsia" w:ascii="宋体" w:hAnsi="宋体" w:eastAsia="宋体" w:cs="宋体"/>
                <w:i w:val="0"/>
                <w:color w:val="000000"/>
                <w:sz w:val="15"/>
                <w:szCs w:val="15"/>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B2773B">
            <w:pPr>
              <w:spacing w:line="240" w:lineRule="exact"/>
              <w:jc w:val="center"/>
              <w:rPr>
                <w:rFonts w:hint="eastAsia" w:ascii="宋体" w:hAnsi="宋体" w:eastAsia="宋体" w:cs="宋体"/>
                <w:i w:val="0"/>
                <w:color w:val="000000"/>
                <w:sz w:val="15"/>
                <w:szCs w:val="15"/>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CB4E49">
            <w:pPr>
              <w:spacing w:line="240" w:lineRule="exact"/>
              <w:jc w:val="center"/>
              <w:rPr>
                <w:rFonts w:hint="eastAsia" w:ascii="宋体" w:hAnsi="宋体" w:eastAsia="宋体" w:cs="宋体"/>
                <w:i w:val="0"/>
                <w:color w:val="000000"/>
                <w:sz w:val="15"/>
                <w:szCs w:val="15"/>
                <w:u w:val="none"/>
                <w:lang w:val="en-US" w:eastAsia="zh-CN"/>
              </w:rPr>
            </w:pPr>
            <w:r>
              <w:rPr>
                <w:rFonts w:hint="eastAsia" w:ascii="宋体" w:hAnsi="宋体" w:eastAsia="宋体" w:cs="宋体"/>
                <w:i w:val="0"/>
                <w:iCs w:val="0"/>
                <w:color w:val="000000"/>
                <w:kern w:val="0"/>
                <w:sz w:val="21"/>
                <w:szCs w:val="21"/>
                <w:u w:val="none"/>
                <w:lang w:val="en-US" w:eastAsia="zh-CN" w:bidi="ar"/>
              </w:rPr>
              <w:t>内蒙古呼和浩特市内蒙古能源集团公司一楼</w:t>
            </w:r>
          </w:p>
        </w:tc>
        <w:tc>
          <w:tcPr>
            <w:tcW w:w="1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732F8">
            <w:pPr>
              <w:spacing w:line="240" w:lineRule="exact"/>
              <w:jc w:val="center"/>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李杭15004866090</w:t>
            </w:r>
          </w:p>
          <w:p w14:paraId="54DE1320">
            <w:pPr>
              <w:spacing w:line="240" w:lineRule="exact"/>
              <w:jc w:val="center"/>
              <w:rPr>
                <w:rFonts w:hint="default" w:ascii="宋体" w:hAnsi="宋体" w:eastAsia="宋体" w:cs="宋体"/>
                <w:i w:val="0"/>
                <w:iCs w:val="0"/>
                <w:color w:val="000000"/>
                <w:kern w:val="0"/>
                <w:sz w:val="21"/>
                <w:szCs w:val="21"/>
                <w:u w:val="none"/>
                <w:lang w:val="en-US" w:eastAsia="zh-CN" w:bidi="ar"/>
              </w:rPr>
            </w:pPr>
          </w:p>
        </w:tc>
      </w:tr>
      <w:tr w14:paraId="391BE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3BB24F">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1175" w:type="dxa"/>
            <w:vMerge w:val="continue"/>
            <w:tcBorders>
              <w:left w:val="single" w:color="000000" w:sz="4" w:space="0"/>
              <w:right w:val="single" w:color="000000" w:sz="4" w:space="0"/>
            </w:tcBorders>
            <w:shd w:val="clear" w:color="auto" w:fill="auto"/>
            <w:noWrap/>
            <w:tcMar>
              <w:top w:w="15" w:type="dxa"/>
              <w:left w:w="15" w:type="dxa"/>
              <w:right w:w="15" w:type="dxa"/>
            </w:tcMar>
            <w:vAlign w:val="center"/>
          </w:tcPr>
          <w:p w14:paraId="1133390D">
            <w:pPr>
              <w:spacing w:line="240" w:lineRule="exact"/>
              <w:jc w:val="center"/>
              <w:rPr>
                <w:rFonts w:hint="eastAsia" w:ascii="宋体" w:hAnsi="宋体" w:eastAsia="宋体" w:cs="宋体"/>
                <w:i w:val="0"/>
                <w:color w:val="000000"/>
                <w:sz w:val="15"/>
                <w:szCs w:val="15"/>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E9A32">
            <w:pPr>
              <w:spacing w:line="240" w:lineRule="exact"/>
              <w:jc w:val="center"/>
              <w:rPr>
                <w:rFonts w:hint="eastAsia" w:ascii="宋体" w:hAnsi="宋体" w:eastAsia="宋体" w:cs="宋体"/>
                <w:i w:val="0"/>
                <w:color w:val="000000"/>
                <w:sz w:val="15"/>
                <w:szCs w:val="15"/>
                <w:u w:val="none"/>
              </w:rPr>
            </w:pPr>
            <w:r>
              <w:rPr>
                <w:rFonts w:hint="eastAsia" w:ascii="宋体" w:hAnsi="宋体" w:cs="宋体"/>
                <w:i w:val="0"/>
                <w:color w:val="000000"/>
                <w:sz w:val="15"/>
                <w:szCs w:val="15"/>
                <w:u w:val="none"/>
                <w:lang w:val="en-US" w:eastAsia="zh-CN"/>
              </w:rPr>
              <w:t>集控中心</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C686C">
            <w:pPr>
              <w:spacing w:line="240" w:lineRule="exact"/>
              <w:jc w:val="center"/>
              <w:rPr>
                <w:rFonts w:hint="eastAsia" w:ascii="宋体" w:hAnsi="宋体" w:eastAsia="宋体" w:cs="宋体"/>
                <w:i w:val="0"/>
                <w:color w:val="000000"/>
                <w:sz w:val="15"/>
                <w:szCs w:val="15"/>
                <w:u w:val="none"/>
              </w:rPr>
            </w:pPr>
            <w:r>
              <w:rPr>
                <w:rFonts w:hint="eastAsia"/>
              </w:rPr>
              <w:t>C100203</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C1E7C">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color w:val="000000"/>
                <w:sz w:val="15"/>
                <w:szCs w:val="15"/>
                <w:u w:val="none"/>
              </w:rPr>
              <w:t>48口光电交换机</w:t>
            </w:r>
          </w:p>
          <w:p w14:paraId="5F1BA068">
            <w:pPr>
              <w:spacing w:line="240" w:lineRule="exact"/>
              <w:jc w:val="center"/>
              <w:rPr>
                <w:rFonts w:hint="eastAsia" w:ascii="宋体" w:hAnsi="宋体" w:eastAsia="宋体" w:cs="宋体"/>
                <w:i w:val="0"/>
                <w:color w:val="000000"/>
                <w:sz w:val="15"/>
                <w:szCs w:val="15"/>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FF144">
            <w:pPr>
              <w:spacing w:line="240" w:lineRule="exact"/>
              <w:jc w:val="center"/>
              <w:rPr>
                <w:rFonts w:hint="eastAsia" w:ascii="宋体" w:hAnsi="宋体" w:eastAsia="宋体" w:cs="宋体"/>
                <w:i w:val="0"/>
                <w:color w:val="000000"/>
                <w:sz w:val="15"/>
                <w:szCs w:val="15"/>
                <w:u w:val="none"/>
              </w:rPr>
            </w:pPr>
            <w:r>
              <w:rPr>
                <w:rFonts w:hint="eastAsia"/>
              </w:rPr>
              <w:t>台</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DD66B">
            <w:pPr>
              <w:spacing w:line="240" w:lineRule="exact"/>
              <w:jc w:val="center"/>
              <w:rPr>
                <w:rFonts w:hint="eastAsia" w:ascii="宋体" w:hAnsi="宋体" w:eastAsia="宋体" w:cs="宋体"/>
                <w:i w:val="0"/>
                <w:color w:val="000000"/>
                <w:sz w:val="15"/>
                <w:szCs w:val="15"/>
                <w:u w:val="none"/>
              </w:rPr>
            </w:pPr>
            <w:r>
              <w:rPr>
                <w:rFonts w:hint="eastAsia"/>
              </w:rPr>
              <w:t>2</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49335E">
            <w:pPr>
              <w:spacing w:line="240" w:lineRule="exact"/>
              <w:jc w:val="center"/>
              <w:rPr>
                <w:rFonts w:hint="eastAsia" w:ascii="宋体" w:hAnsi="宋体" w:eastAsia="宋体" w:cs="宋体"/>
                <w:i w:val="0"/>
                <w:color w:val="000000"/>
                <w:sz w:val="15"/>
                <w:szCs w:val="15"/>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BDEF9">
            <w:pPr>
              <w:spacing w:line="240" w:lineRule="exact"/>
              <w:jc w:val="center"/>
              <w:rPr>
                <w:rFonts w:hint="eastAsia" w:ascii="宋体" w:hAnsi="宋体" w:eastAsia="宋体" w:cs="宋体"/>
                <w:i w:val="0"/>
                <w:color w:val="000000"/>
                <w:sz w:val="15"/>
                <w:szCs w:val="15"/>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8C229">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iCs w:val="0"/>
                <w:color w:val="000000"/>
                <w:kern w:val="0"/>
                <w:sz w:val="21"/>
                <w:szCs w:val="21"/>
                <w:u w:val="none"/>
                <w:lang w:val="en-US" w:eastAsia="zh-CN" w:bidi="ar"/>
              </w:rPr>
              <w:t>内蒙古呼和浩特市赛罕区万正广场内蒙古智慧运维新能源有限公司</w:t>
            </w:r>
          </w:p>
        </w:tc>
        <w:tc>
          <w:tcPr>
            <w:tcW w:w="1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CF3889">
            <w:pPr>
              <w:spacing w:line="240" w:lineRule="exact"/>
              <w:jc w:val="center"/>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李杭15004866090</w:t>
            </w:r>
          </w:p>
          <w:p w14:paraId="499EE68E">
            <w:pPr>
              <w:spacing w:line="240" w:lineRule="exact"/>
              <w:jc w:val="center"/>
              <w:rPr>
                <w:rFonts w:hint="eastAsia" w:ascii="宋体" w:hAnsi="宋体" w:eastAsia="宋体" w:cs="宋体"/>
                <w:i w:val="0"/>
                <w:iCs w:val="0"/>
                <w:color w:val="000000"/>
                <w:kern w:val="0"/>
                <w:sz w:val="21"/>
                <w:szCs w:val="21"/>
                <w:u w:val="none"/>
                <w:lang w:val="en-US" w:eastAsia="zh-CN" w:bidi="ar"/>
              </w:rPr>
            </w:pPr>
          </w:p>
        </w:tc>
      </w:tr>
      <w:tr w14:paraId="59107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733B3">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cs="宋体"/>
                <w:i w:val="0"/>
                <w:color w:val="000000"/>
                <w:kern w:val="0"/>
                <w:sz w:val="15"/>
                <w:szCs w:val="15"/>
                <w:u w:val="none"/>
                <w:lang w:val="en-US" w:eastAsia="zh-CN" w:bidi="ar"/>
              </w:rPr>
              <w:t>3</w:t>
            </w:r>
          </w:p>
        </w:tc>
        <w:tc>
          <w:tcPr>
            <w:tcW w:w="1175" w:type="dxa"/>
            <w:vMerge w:val="continue"/>
            <w:tcBorders>
              <w:left w:val="single" w:color="000000" w:sz="4" w:space="0"/>
              <w:right w:val="single" w:color="000000" w:sz="4" w:space="0"/>
            </w:tcBorders>
            <w:shd w:val="clear" w:color="auto" w:fill="auto"/>
            <w:noWrap/>
            <w:tcMar>
              <w:top w:w="15" w:type="dxa"/>
              <w:left w:w="15" w:type="dxa"/>
              <w:right w:w="15" w:type="dxa"/>
            </w:tcMar>
            <w:vAlign w:val="center"/>
          </w:tcPr>
          <w:p w14:paraId="38AA7BA8">
            <w:pPr>
              <w:spacing w:line="240" w:lineRule="exact"/>
              <w:jc w:val="center"/>
              <w:rPr>
                <w:rFonts w:hint="eastAsia" w:ascii="宋体" w:hAnsi="宋体" w:eastAsia="宋体" w:cs="宋体"/>
                <w:i w:val="0"/>
                <w:color w:val="000000"/>
                <w:sz w:val="15"/>
                <w:szCs w:val="15"/>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4D240">
            <w:pPr>
              <w:spacing w:line="240" w:lineRule="exact"/>
              <w:jc w:val="center"/>
              <w:rPr>
                <w:rFonts w:hint="eastAsia" w:ascii="宋体" w:hAnsi="宋体" w:eastAsia="宋体" w:cs="宋体"/>
                <w:i w:val="0"/>
                <w:color w:val="000000"/>
                <w:sz w:val="15"/>
                <w:szCs w:val="15"/>
                <w:u w:val="none"/>
              </w:rPr>
            </w:pPr>
            <w:r>
              <w:rPr>
                <w:rFonts w:hint="eastAsia" w:ascii="宋体" w:hAnsi="宋体" w:cs="宋体"/>
                <w:i w:val="0"/>
                <w:color w:val="000000"/>
                <w:sz w:val="15"/>
                <w:szCs w:val="15"/>
                <w:u w:val="none"/>
                <w:lang w:val="en-US" w:eastAsia="zh-CN"/>
              </w:rPr>
              <w:t>集控中心</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CAC3E0">
            <w:pPr>
              <w:spacing w:line="240" w:lineRule="exact"/>
              <w:jc w:val="center"/>
              <w:rPr>
                <w:rFonts w:hint="eastAsia" w:ascii="宋体" w:hAnsi="宋体" w:eastAsia="宋体" w:cs="宋体"/>
                <w:i w:val="0"/>
                <w:color w:val="000000"/>
                <w:sz w:val="15"/>
                <w:szCs w:val="15"/>
                <w:u w:val="none"/>
              </w:rPr>
            </w:pPr>
            <w:r>
              <w:rPr>
                <w:rFonts w:hint="eastAsia"/>
              </w:rPr>
              <w:t>C100203</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71EF8">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color w:val="000000"/>
                <w:sz w:val="15"/>
                <w:szCs w:val="15"/>
                <w:u w:val="none"/>
              </w:rPr>
              <w:t>48口光交换机</w:t>
            </w:r>
          </w:p>
          <w:p w14:paraId="015E6426">
            <w:pPr>
              <w:spacing w:line="240" w:lineRule="exact"/>
              <w:jc w:val="center"/>
              <w:rPr>
                <w:rFonts w:hint="eastAsia" w:ascii="宋体" w:hAnsi="宋体" w:eastAsia="宋体" w:cs="宋体"/>
                <w:i w:val="0"/>
                <w:color w:val="000000"/>
                <w:sz w:val="15"/>
                <w:szCs w:val="15"/>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22B6C8">
            <w:pPr>
              <w:spacing w:line="240" w:lineRule="exact"/>
              <w:jc w:val="center"/>
              <w:rPr>
                <w:rFonts w:hint="eastAsia" w:ascii="宋体" w:hAnsi="宋体" w:eastAsia="宋体" w:cs="宋体"/>
                <w:i w:val="0"/>
                <w:color w:val="000000"/>
                <w:sz w:val="15"/>
                <w:szCs w:val="15"/>
                <w:u w:val="none"/>
              </w:rPr>
            </w:pPr>
            <w:r>
              <w:rPr>
                <w:rFonts w:hint="eastAsia"/>
              </w:rPr>
              <w:t>台</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30F11">
            <w:pPr>
              <w:spacing w:line="240" w:lineRule="exact"/>
              <w:jc w:val="center"/>
              <w:rPr>
                <w:rFonts w:hint="eastAsia" w:ascii="宋体" w:hAnsi="宋体" w:eastAsia="宋体" w:cs="宋体"/>
                <w:i w:val="0"/>
                <w:color w:val="000000"/>
                <w:sz w:val="15"/>
                <w:szCs w:val="15"/>
                <w:u w:val="none"/>
              </w:rPr>
            </w:pPr>
            <w:r>
              <w:rPr>
                <w:rFonts w:hint="eastAsia"/>
              </w:rPr>
              <w:t>2</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A471A8">
            <w:pPr>
              <w:spacing w:line="240" w:lineRule="exact"/>
              <w:jc w:val="center"/>
              <w:rPr>
                <w:rFonts w:hint="eastAsia" w:ascii="宋体" w:hAnsi="宋体" w:eastAsia="宋体" w:cs="宋体"/>
                <w:i w:val="0"/>
                <w:color w:val="000000"/>
                <w:sz w:val="15"/>
                <w:szCs w:val="15"/>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8B3CD">
            <w:pPr>
              <w:spacing w:line="240" w:lineRule="exact"/>
              <w:jc w:val="center"/>
              <w:rPr>
                <w:rFonts w:hint="eastAsia" w:ascii="宋体" w:hAnsi="宋体" w:eastAsia="宋体" w:cs="宋体"/>
                <w:i w:val="0"/>
                <w:color w:val="000000"/>
                <w:sz w:val="15"/>
                <w:szCs w:val="15"/>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A7954">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iCs w:val="0"/>
                <w:color w:val="000000"/>
                <w:kern w:val="0"/>
                <w:sz w:val="21"/>
                <w:szCs w:val="21"/>
                <w:u w:val="none"/>
                <w:lang w:val="en-US" w:eastAsia="zh-CN" w:bidi="ar"/>
              </w:rPr>
              <w:t>内蒙古呼和浩特市赛罕区万正广场内蒙古智慧运维新能源有限公司</w:t>
            </w:r>
          </w:p>
        </w:tc>
        <w:tc>
          <w:tcPr>
            <w:tcW w:w="1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C5EF3">
            <w:pPr>
              <w:spacing w:line="240" w:lineRule="exact"/>
              <w:jc w:val="center"/>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李杭15004866090</w:t>
            </w:r>
          </w:p>
          <w:p w14:paraId="5BE588AC">
            <w:pPr>
              <w:spacing w:line="240" w:lineRule="exact"/>
              <w:jc w:val="center"/>
              <w:rPr>
                <w:rFonts w:hint="eastAsia" w:ascii="宋体" w:hAnsi="宋体" w:eastAsia="宋体" w:cs="宋体"/>
                <w:i w:val="0"/>
                <w:iCs w:val="0"/>
                <w:color w:val="000000"/>
                <w:kern w:val="0"/>
                <w:sz w:val="21"/>
                <w:szCs w:val="21"/>
                <w:u w:val="none"/>
                <w:lang w:val="en-US" w:eastAsia="zh-CN" w:bidi="ar"/>
              </w:rPr>
            </w:pPr>
          </w:p>
        </w:tc>
      </w:tr>
      <w:tr w14:paraId="120EC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7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87E14">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cs="宋体"/>
                <w:i w:val="0"/>
                <w:color w:val="000000"/>
                <w:kern w:val="0"/>
                <w:sz w:val="15"/>
                <w:szCs w:val="15"/>
                <w:u w:val="none"/>
                <w:lang w:val="en-US" w:eastAsia="zh-CN" w:bidi="ar"/>
              </w:rPr>
              <w:t>4</w:t>
            </w:r>
          </w:p>
        </w:tc>
        <w:tc>
          <w:tcPr>
            <w:tcW w:w="1175" w:type="dxa"/>
            <w:vMerge w:val="continue"/>
            <w:tcBorders>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A1889">
            <w:pPr>
              <w:spacing w:line="240" w:lineRule="exact"/>
              <w:jc w:val="center"/>
              <w:rPr>
                <w:rFonts w:hint="eastAsia" w:ascii="宋体" w:hAnsi="宋体" w:eastAsia="宋体" w:cs="宋体"/>
                <w:i w:val="0"/>
                <w:color w:val="000000"/>
                <w:sz w:val="15"/>
                <w:szCs w:val="15"/>
                <w:u w:val="none"/>
              </w:rPr>
            </w:pPr>
          </w:p>
        </w:tc>
        <w:tc>
          <w:tcPr>
            <w:tcW w:w="12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9B2216">
            <w:pPr>
              <w:spacing w:line="240" w:lineRule="exact"/>
              <w:jc w:val="center"/>
              <w:rPr>
                <w:rFonts w:hint="eastAsia" w:ascii="宋体" w:hAnsi="宋体" w:eastAsia="宋体" w:cs="宋体"/>
                <w:i w:val="0"/>
                <w:color w:val="000000"/>
                <w:sz w:val="15"/>
                <w:szCs w:val="15"/>
                <w:u w:val="none"/>
              </w:rPr>
            </w:pPr>
            <w:r>
              <w:rPr>
                <w:rFonts w:hint="eastAsia" w:ascii="宋体" w:hAnsi="宋体" w:cs="宋体"/>
                <w:i w:val="0"/>
                <w:color w:val="000000"/>
                <w:sz w:val="15"/>
                <w:szCs w:val="15"/>
                <w:u w:val="none"/>
                <w:lang w:val="en-US" w:eastAsia="zh-CN"/>
              </w:rPr>
              <w:t>集控中心</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F7699">
            <w:pPr>
              <w:spacing w:line="240" w:lineRule="exact"/>
              <w:jc w:val="center"/>
              <w:rPr>
                <w:rFonts w:hint="eastAsia" w:ascii="宋体" w:hAnsi="宋体" w:eastAsia="宋体" w:cs="宋体"/>
                <w:i w:val="0"/>
                <w:color w:val="000000"/>
                <w:sz w:val="15"/>
                <w:szCs w:val="15"/>
                <w:u w:val="none"/>
              </w:rPr>
            </w:pPr>
            <w:r>
              <w:rPr>
                <w:rFonts w:hint="eastAsia"/>
              </w:rPr>
              <w:t>C100205</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5E69F">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color w:val="000000"/>
                <w:sz w:val="15"/>
                <w:szCs w:val="15"/>
                <w:u w:val="none"/>
              </w:rPr>
              <w:t>光电转换器</w:t>
            </w:r>
          </w:p>
          <w:p w14:paraId="3034CE66">
            <w:pPr>
              <w:spacing w:line="240" w:lineRule="exact"/>
              <w:jc w:val="center"/>
              <w:rPr>
                <w:rFonts w:hint="eastAsia" w:ascii="宋体" w:hAnsi="宋体" w:eastAsia="宋体" w:cs="宋体"/>
                <w:i w:val="0"/>
                <w:color w:val="000000"/>
                <w:sz w:val="15"/>
                <w:szCs w:val="15"/>
                <w:u w:val="none"/>
              </w:rPr>
            </w:pP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33D8D">
            <w:pPr>
              <w:spacing w:line="240" w:lineRule="exact"/>
              <w:jc w:val="center"/>
              <w:rPr>
                <w:rFonts w:hint="eastAsia" w:ascii="宋体" w:hAnsi="宋体" w:eastAsia="宋体" w:cs="宋体"/>
                <w:i w:val="0"/>
                <w:color w:val="000000"/>
                <w:sz w:val="15"/>
                <w:szCs w:val="15"/>
                <w:u w:val="none"/>
              </w:rPr>
            </w:pPr>
            <w:r>
              <w:rPr>
                <w:rFonts w:hint="eastAsia"/>
              </w:rPr>
              <w:t>套</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9D481">
            <w:pPr>
              <w:spacing w:line="240" w:lineRule="exact"/>
              <w:jc w:val="center"/>
              <w:rPr>
                <w:rFonts w:hint="eastAsia" w:ascii="宋体" w:hAnsi="宋体" w:eastAsia="宋体" w:cs="宋体"/>
                <w:i w:val="0"/>
                <w:color w:val="000000"/>
                <w:sz w:val="15"/>
                <w:szCs w:val="15"/>
                <w:u w:val="none"/>
              </w:rPr>
            </w:pPr>
            <w:r>
              <w:rPr>
                <w:rFonts w:hint="eastAsia"/>
              </w:rPr>
              <w:t>4</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3D4B3">
            <w:pPr>
              <w:spacing w:line="240" w:lineRule="exact"/>
              <w:jc w:val="center"/>
              <w:rPr>
                <w:rFonts w:hint="eastAsia" w:ascii="宋体" w:hAnsi="宋体" w:eastAsia="宋体" w:cs="宋体"/>
                <w:i w:val="0"/>
                <w:color w:val="000000"/>
                <w:sz w:val="15"/>
                <w:szCs w:val="15"/>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0B09C">
            <w:pPr>
              <w:spacing w:line="240" w:lineRule="exact"/>
              <w:jc w:val="center"/>
              <w:rPr>
                <w:rFonts w:hint="eastAsia" w:ascii="宋体" w:hAnsi="宋体" w:eastAsia="宋体" w:cs="宋体"/>
                <w:i w:val="0"/>
                <w:color w:val="000000"/>
                <w:sz w:val="15"/>
                <w:szCs w:val="15"/>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4138D3">
            <w:pPr>
              <w:spacing w:line="240" w:lineRule="exact"/>
              <w:jc w:val="center"/>
              <w:rPr>
                <w:rFonts w:hint="eastAsia" w:ascii="宋体" w:hAnsi="宋体" w:eastAsia="宋体" w:cs="宋体"/>
                <w:i w:val="0"/>
                <w:color w:val="000000"/>
                <w:sz w:val="15"/>
                <w:szCs w:val="15"/>
                <w:u w:val="none"/>
              </w:rPr>
            </w:pPr>
            <w:r>
              <w:rPr>
                <w:rFonts w:hint="eastAsia" w:ascii="宋体" w:hAnsi="宋体" w:eastAsia="宋体" w:cs="宋体"/>
                <w:i w:val="0"/>
                <w:iCs w:val="0"/>
                <w:color w:val="000000"/>
                <w:kern w:val="0"/>
                <w:sz w:val="21"/>
                <w:szCs w:val="21"/>
                <w:u w:val="none"/>
                <w:lang w:val="en-US" w:eastAsia="zh-CN" w:bidi="ar"/>
              </w:rPr>
              <w:t>内蒙古呼和浩特市赛罕区万正广场内蒙古智慧运维新能源有限公司</w:t>
            </w:r>
          </w:p>
        </w:tc>
        <w:tc>
          <w:tcPr>
            <w:tcW w:w="1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088A9">
            <w:pPr>
              <w:spacing w:line="240" w:lineRule="exact"/>
              <w:jc w:val="center"/>
              <w:rPr>
                <w:rFonts w:hint="eastAsia" w:ascii="宋体" w:hAnsi="宋体" w:eastAsia="宋体" w:cs="宋体"/>
                <w:i w:val="0"/>
                <w:iCs w:val="0"/>
                <w:color w:val="000000"/>
                <w:kern w:val="0"/>
                <w:sz w:val="21"/>
                <w:szCs w:val="21"/>
                <w:u w:val="none"/>
                <w:lang w:val="en-US" w:eastAsia="zh-CN" w:bidi="ar"/>
              </w:rPr>
            </w:pPr>
            <w:r>
              <w:rPr>
                <w:rFonts w:hint="default" w:ascii="宋体" w:hAnsi="宋体" w:eastAsia="宋体" w:cs="宋体"/>
                <w:i w:val="0"/>
                <w:iCs w:val="0"/>
                <w:color w:val="000000"/>
                <w:kern w:val="0"/>
                <w:sz w:val="21"/>
                <w:szCs w:val="21"/>
                <w:u w:val="none"/>
                <w:lang w:val="en-US" w:eastAsia="zh-CN" w:bidi="ar"/>
              </w:rPr>
              <w:t>李杭15004866090</w:t>
            </w:r>
          </w:p>
          <w:p w14:paraId="6058FA29">
            <w:pPr>
              <w:spacing w:line="240" w:lineRule="exact"/>
              <w:jc w:val="center"/>
              <w:rPr>
                <w:rFonts w:hint="eastAsia" w:ascii="宋体" w:hAnsi="宋体" w:eastAsia="宋体" w:cs="宋体"/>
                <w:i w:val="0"/>
                <w:iCs w:val="0"/>
                <w:color w:val="000000"/>
                <w:kern w:val="0"/>
                <w:sz w:val="21"/>
                <w:szCs w:val="21"/>
                <w:u w:val="none"/>
                <w:lang w:val="en-US" w:eastAsia="zh-CN" w:bidi="ar"/>
              </w:rPr>
            </w:pPr>
          </w:p>
        </w:tc>
      </w:tr>
      <w:tr w14:paraId="78C6C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856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0141C">
            <w:pPr>
              <w:keepNext w:val="0"/>
              <w:keepLines w:val="0"/>
              <w:widowControl/>
              <w:suppressLineNumbers w:val="0"/>
              <w:spacing w:line="240" w:lineRule="exact"/>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F3307">
            <w:pPr>
              <w:spacing w:line="240" w:lineRule="exact"/>
              <w:jc w:val="center"/>
              <w:rPr>
                <w:rFonts w:hint="eastAsia" w:ascii="宋体" w:hAnsi="宋体" w:eastAsia="宋体" w:cs="宋体"/>
                <w:i w:val="0"/>
                <w:color w:val="000000"/>
                <w:sz w:val="15"/>
                <w:szCs w:val="15"/>
                <w:u w:val="none"/>
              </w:rPr>
            </w:pPr>
          </w:p>
        </w:tc>
        <w:tc>
          <w:tcPr>
            <w:tcW w:w="2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88E90">
            <w:pPr>
              <w:widowControl/>
              <w:snapToGrid w:val="0"/>
              <w:ind w:left="0" w:leftChars="0" w:right="0" w:rightChars="0" w:firstLine="0" w:firstLineChars="0"/>
              <w:jc w:val="left"/>
              <w:textAlignment w:val="center"/>
              <w:rPr>
                <w:rFonts w:hint="default" w:ascii="宋体" w:hAnsi="Arial" w:eastAsia="宋体" w:cs="Arial"/>
                <w:b/>
                <w:color w:val="000000"/>
                <w:kern w:val="0"/>
                <w:sz w:val="20"/>
                <w:lang w:val="en-US" w:eastAsia="zh-CN" w:bidi="ar"/>
              </w:rPr>
            </w:pPr>
            <w:r>
              <w:rPr>
                <w:rFonts w:hint="default" w:ascii="宋体" w:hAnsi="Arial" w:eastAsia="宋体" w:cs="Arial"/>
                <w:b/>
                <w:color w:val="000000"/>
                <w:kern w:val="0"/>
                <w:sz w:val="20"/>
                <w:lang w:val="en-US" w:eastAsia="zh-CN" w:bidi="ar"/>
              </w:rPr>
              <w:t>备用供货联系人</w:t>
            </w:r>
          </w:p>
          <w:p w14:paraId="0A3FDDAC">
            <w:pPr>
              <w:widowControl/>
              <w:snapToGrid/>
              <w:spacing w:line="240" w:lineRule="exact"/>
              <w:ind w:left="0" w:leftChars="0" w:right="0" w:rightChars="0" w:firstLine="0" w:firstLineChars="0"/>
              <w:jc w:val="both"/>
              <w:textAlignment w:val="auto"/>
              <w:rPr>
                <w:rFonts w:hint="eastAsia" w:ascii="宋体" w:hAnsi="Arial" w:eastAsia="宋体" w:cs="Arial"/>
                <w:b/>
                <w:color w:val="000000"/>
                <w:kern w:val="0"/>
                <w:sz w:val="20"/>
                <w:lang w:val="en-US" w:eastAsia="zh-CN" w:bidi="ar"/>
              </w:rPr>
            </w:pPr>
            <w:r>
              <w:rPr>
                <w:rFonts w:hint="default" w:ascii="宋体" w:hAnsi="Arial" w:eastAsia="宋体" w:cs="Arial"/>
                <w:b/>
                <w:i w:val="0"/>
                <w:iCs w:val="0"/>
                <w:color w:val="000000"/>
                <w:kern w:val="0"/>
                <w:sz w:val="20"/>
                <w:szCs w:val="20"/>
                <w:u w:val="none"/>
                <w:lang w:val="en-US" w:eastAsia="zh-CN" w:bidi="ar"/>
              </w:rPr>
              <w:t>李杭15004866090</w:t>
            </w:r>
          </w:p>
          <w:p w14:paraId="13304C69">
            <w:pPr>
              <w:spacing w:line="240" w:lineRule="exact"/>
              <w:jc w:val="both"/>
              <w:rPr>
                <w:rFonts w:hint="default" w:ascii="宋体" w:hAnsi="Arial" w:eastAsia="宋体" w:cs="Arial"/>
                <w:b/>
                <w:color w:val="000000"/>
                <w:kern w:val="0"/>
                <w:sz w:val="20"/>
                <w:lang w:val="en-US" w:eastAsia="zh-CN" w:bidi="ar"/>
              </w:rPr>
            </w:pPr>
            <w:r>
              <w:rPr>
                <w:rFonts w:hint="default" w:ascii="宋体" w:hAnsi="Arial" w:eastAsia="宋体" w:cs="Arial"/>
                <w:b/>
                <w:color w:val="000000"/>
                <w:kern w:val="0"/>
                <w:sz w:val="20"/>
                <w:lang w:val="en-US" w:eastAsia="zh-CN" w:bidi="ar"/>
              </w:rPr>
              <w:t>应急联系人：</w:t>
            </w:r>
          </w:p>
          <w:p w14:paraId="2967CDB5">
            <w:pPr>
              <w:spacing w:line="240" w:lineRule="exact"/>
              <w:jc w:val="both"/>
              <w:rPr>
                <w:rFonts w:hint="eastAsia" w:ascii="宋体" w:hAnsi="宋体" w:eastAsia="宋体" w:cs="宋体"/>
                <w:i w:val="0"/>
                <w:color w:val="000000"/>
                <w:sz w:val="15"/>
                <w:szCs w:val="15"/>
                <w:u w:val="none"/>
              </w:rPr>
            </w:pPr>
            <w:r>
              <w:rPr>
                <w:rFonts w:hint="default" w:ascii="宋体" w:hAnsi="Arial" w:eastAsia="宋体" w:cs="Arial"/>
                <w:b/>
                <w:color w:val="000000"/>
                <w:kern w:val="0"/>
                <w:sz w:val="20"/>
                <w:lang w:val="en-US" w:eastAsia="zh-CN" w:bidi="ar"/>
              </w:rPr>
              <w:t>敖洋15949473705</w:t>
            </w:r>
          </w:p>
        </w:tc>
        <w:tc>
          <w:tcPr>
            <w:tcW w:w="14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141246">
            <w:pPr>
              <w:spacing w:line="240" w:lineRule="exact"/>
              <w:jc w:val="center"/>
              <w:rPr>
                <w:rFonts w:hint="eastAsia" w:ascii="宋体" w:hAnsi="宋体" w:eastAsia="宋体" w:cs="宋体"/>
                <w:i w:val="0"/>
                <w:color w:val="000000"/>
                <w:sz w:val="15"/>
                <w:szCs w:val="15"/>
                <w:u w:val="none"/>
              </w:rPr>
            </w:pPr>
          </w:p>
        </w:tc>
      </w:tr>
    </w:tbl>
    <w:p w14:paraId="3CC8013C">
      <w:pPr>
        <w:wordWrap w:val="0"/>
        <w:snapToGrid w:val="0"/>
        <w:spacing w:line="480" w:lineRule="exact"/>
        <w:jc w:val="left"/>
        <w:rPr>
          <w:rFonts w:hint="eastAsia" w:ascii="楷体_GB2312" w:hAnsi="楷体_GB2312" w:eastAsia="楷体_GB2312" w:cs="楷体_GB2312"/>
          <w:b w:val="0"/>
          <w:bCs/>
          <w:color w:val="auto"/>
          <w:sz w:val="28"/>
          <w:szCs w:val="28"/>
          <w:highlight w:val="none"/>
          <w:lang w:val="en-US" w:eastAsia="zh-CN"/>
        </w:rPr>
      </w:pPr>
      <w:r>
        <w:rPr>
          <w:rFonts w:hint="eastAsia" w:ascii="楷体_GB2312" w:hAnsi="楷体_GB2312" w:eastAsia="楷体_GB2312" w:cs="楷体_GB2312"/>
          <w:b w:val="0"/>
          <w:bCs/>
          <w:color w:val="auto"/>
          <w:sz w:val="28"/>
          <w:szCs w:val="28"/>
          <w:highlight w:val="none"/>
          <w:lang w:val="en-US" w:eastAsia="zh-CN"/>
        </w:rPr>
        <w:t>注：物料编码为ERP系统中所属物料的编号、物料描述为所属物料的文字描述（包括名称、型号、参数）</w:t>
      </w:r>
    </w:p>
    <w:p w14:paraId="6716B5C2">
      <w:pPr>
        <w:pStyle w:val="2"/>
        <w:rPr>
          <w:rFonts w:hint="eastAsia" w:ascii="仿宋" w:hAnsi="仿宋" w:eastAsia="仿宋"/>
          <w:b/>
          <w:color w:val="000000"/>
          <w:sz w:val="28"/>
          <w:szCs w:val="28"/>
          <w:highlight w:val="none"/>
        </w:rPr>
      </w:pPr>
    </w:p>
    <w:p w14:paraId="175A472E">
      <w:pPr>
        <w:pStyle w:val="2"/>
        <w:rPr>
          <w:rFonts w:hint="eastAsia" w:ascii="仿宋" w:hAnsi="仿宋" w:eastAsia="仿宋"/>
          <w:b/>
          <w:color w:val="000000"/>
          <w:sz w:val="28"/>
          <w:szCs w:val="28"/>
          <w:highlight w:val="none"/>
        </w:rPr>
      </w:pPr>
    </w:p>
    <w:p w14:paraId="6930A75D">
      <w:pPr>
        <w:pStyle w:val="2"/>
        <w:rPr>
          <w:rFonts w:hint="eastAsia" w:ascii="仿宋" w:hAnsi="仿宋" w:eastAsia="仿宋"/>
          <w:b/>
          <w:color w:val="000000"/>
          <w:sz w:val="28"/>
          <w:szCs w:val="28"/>
          <w:highlight w:val="none"/>
        </w:rPr>
      </w:pPr>
    </w:p>
    <w:p w14:paraId="2F31630A">
      <w:pPr>
        <w:pStyle w:val="2"/>
        <w:rPr>
          <w:rFonts w:hint="eastAsia" w:ascii="仿宋" w:hAnsi="仿宋" w:eastAsia="仿宋"/>
          <w:b/>
          <w:color w:val="000000"/>
          <w:sz w:val="28"/>
          <w:szCs w:val="28"/>
          <w:highlight w:val="none"/>
        </w:rPr>
        <w:sectPr>
          <w:pgSz w:w="16838" w:h="11906" w:orient="landscape"/>
          <w:pgMar w:top="1803" w:right="1440" w:bottom="1803" w:left="1440" w:header="851" w:footer="992" w:gutter="0"/>
          <w:pgNumType w:fmt="decimal"/>
          <w:cols w:space="0" w:num="1"/>
          <w:rtlGutter w:val="0"/>
          <w:docGrid w:type="lines" w:linePitch="319" w:charSpace="0"/>
        </w:sectPr>
      </w:pPr>
    </w:p>
    <w:p w14:paraId="07DD0A67">
      <w:pPr>
        <w:pStyle w:val="4"/>
        <w:wordWrap w:val="0"/>
        <w:spacing w:line="560" w:lineRule="exact"/>
        <w:ind w:firstLine="641" w:firstLineChars="200"/>
        <w:jc w:val="center"/>
        <w:rPr>
          <w:rFonts w:ascii="仿宋" w:hAnsi="仿宋" w:eastAsia="仿宋"/>
          <w:b w:val="0"/>
          <w:color w:val="000000"/>
          <w:sz w:val="28"/>
          <w:szCs w:val="28"/>
          <w:highlight w:val="none"/>
        </w:rPr>
      </w:pPr>
      <w:bookmarkStart w:id="5" w:name="_Toc19212"/>
      <w:bookmarkStart w:id="6" w:name="_Toc27351"/>
      <w:bookmarkStart w:id="7" w:name="_Toc18912"/>
      <w:r>
        <w:rPr>
          <w:rFonts w:hint="eastAsia" w:ascii="华文中宋" w:hAnsi="华文中宋" w:eastAsia="华文中宋"/>
          <w:color w:val="000000"/>
          <w:sz w:val="32"/>
          <w:szCs w:val="32"/>
          <w:highlight w:val="none"/>
        </w:rPr>
        <w:t>第二部分 通用合同条款</w:t>
      </w:r>
      <w:bookmarkEnd w:id="5"/>
      <w:bookmarkEnd w:id="6"/>
      <w:bookmarkEnd w:id="7"/>
    </w:p>
    <w:p w14:paraId="42578020">
      <w:pPr>
        <w:wordWrap w:val="0"/>
        <w:spacing w:line="560" w:lineRule="exact"/>
        <w:rPr>
          <w:rFonts w:ascii="仿宋" w:hAnsi="仿宋" w:eastAsia="仿宋"/>
          <w:color w:val="000000"/>
          <w:sz w:val="28"/>
          <w:szCs w:val="28"/>
          <w:highlight w:val="none"/>
        </w:rPr>
      </w:pPr>
    </w:p>
    <w:p w14:paraId="6839E39C">
      <w:pPr>
        <w:pStyle w:val="12"/>
        <w:wordWrap w:val="0"/>
        <w:spacing w:line="560" w:lineRule="exact"/>
        <w:ind w:firstLine="560"/>
        <w:jc w:val="both"/>
        <w:outlineLvl w:val="1"/>
        <w:rPr>
          <w:rFonts w:ascii="黑体" w:eastAsia="黑体"/>
          <w:b w:val="0"/>
          <w:snapToGrid w:val="0"/>
          <w:color w:val="000000"/>
          <w:sz w:val="28"/>
          <w:szCs w:val="28"/>
          <w:highlight w:val="none"/>
        </w:rPr>
      </w:pPr>
      <w:bookmarkStart w:id="8" w:name="_Toc15334"/>
      <w:bookmarkStart w:id="9" w:name="_Toc9653"/>
      <w:bookmarkStart w:id="10" w:name="_Toc1518"/>
      <w:r>
        <w:rPr>
          <w:rFonts w:hint="eastAsia" w:ascii="黑体" w:eastAsia="黑体"/>
          <w:b w:val="0"/>
          <w:snapToGrid w:val="0"/>
          <w:color w:val="000000"/>
          <w:sz w:val="28"/>
          <w:szCs w:val="28"/>
          <w:highlight w:val="none"/>
        </w:rPr>
        <w:t>1.合同标的</w:t>
      </w:r>
      <w:bookmarkEnd w:id="8"/>
      <w:bookmarkEnd w:id="9"/>
      <w:bookmarkEnd w:id="10"/>
    </w:p>
    <w:p w14:paraId="06FF8653">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1.1 卖方向买方供应的货物的名称、品牌、规格型号、数量等见《已标价合同货物清单》。</w:t>
      </w:r>
    </w:p>
    <w:p w14:paraId="30B2F9FA">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1.2 卖方应向买方提供全新的、技术水平先进的、质量可靠的</w:t>
      </w:r>
      <w:r>
        <w:rPr>
          <w:rFonts w:hint="eastAsia" w:ascii="仿宋" w:hAnsi="仿宋" w:eastAsia="仿宋"/>
          <w:color w:val="000000"/>
          <w:sz w:val="28"/>
          <w:szCs w:val="28"/>
          <w:highlight w:val="none"/>
          <w:lang w:eastAsia="zh-CN"/>
        </w:rPr>
        <w:t>、</w:t>
      </w:r>
      <w:r>
        <w:rPr>
          <w:rFonts w:hint="eastAsia" w:ascii="仿宋" w:hAnsi="仿宋" w:eastAsia="仿宋"/>
          <w:color w:val="000000"/>
          <w:sz w:val="28"/>
          <w:szCs w:val="28"/>
          <w:highlight w:val="none"/>
          <w:lang w:val="en-US" w:eastAsia="zh-CN"/>
        </w:rPr>
        <w:t>有效期不超过总有效期50%的</w:t>
      </w:r>
      <w:r>
        <w:rPr>
          <w:rFonts w:hint="eastAsia" w:ascii="仿宋" w:hAnsi="仿宋" w:eastAsia="仿宋"/>
          <w:color w:val="000000"/>
          <w:sz w:val="28"/>
          <w:szCs w:val="28"/>
          <w:highlight w:val="none"/>
        </w:rPr>
        <w:t>货物，并保证该货物未侵犯任何第三方的合法权利（包括但不限于知识产权），详细要求见“技术规范书”。</w:t>
      </w:r>
    </w:p>
    <w:p w14:paraId="750789F6">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1.3 卖方提供的货物应符合国家或行业技术标准，生产厂家的技术标准高于国家或行业技术标准的，卖方应按生产厂家技术标准执行。</w:t>
      </w:r>
    </w:p>
    <w:p w14:paraId="0B9CE217">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1.4 卖方应提供与货物安装使用相关的技术资料和技术服务。</w:t>
      </w:r>
    </w:p>
    <w:p w14:paraId="23336BF2">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 xml:space="preserve">1.5 </w:t>
      </w:r>
      <w:r>
        <w:rPr>
          <w:rFonts w:hint="eastAsia" w:ascii="仿宋" w:hAnsi="仿宋" w:eastAsia="仿宋"/>
          <w:snapToGrid w:val="0"/>
          <w:color w:val="000000"/>
          <w:kern w:val="0"/>
          <w:sz w:val="28"/>
          <w:szCs w:val="28"/>
          <w:highlight w:val="none"/>
        </w:rPr>
        <w:t>卖方保证其依照本合同向买方交付的合同货物没有任何权利瑕疵，</w:t>
      </w:r>
      <w:r>
        <w:rPr>
          <w:rFonts w:hint="eastAsia" w:ascii="仿宋" w:hAnsi="仿宋" w:eastAsia="仿宋"/>
          <w:snapToGrid w:val="0"/>
          <w:kern w:val="0"/>
          <w:sz w:val="28"/>
          <w:szCs w:val="28"/>
          <w:highlight w:val="none"/>
        </w:rPr>
        <w:t>合同货物上不存在任何抵押、质押、留置等担保物权、任何第三方知识产权，不存在任何性质的附属或者限制性权益</w:t>
      </w:r>
      <w:r>
        <w:rPr>
          <w:rFonts w:hint="eastAsia" w:ascii="仿宋" w:hAnsi="仿宋" w:eastAsia="仿宋"/>
          <w:snapToGrid w:val="0"/>
          <w:color w:val="000000"/>
          <w:kern w:val="0"/>
          <w:sz w:val="28"/>
          <w:szCs w:val="28"/>
          <w:highlight w:val="none"/>
        </w:rPr>
        <w:t>，也不存在被任何政府机关或者司法机关查封、扣押、冻结的情形。卖方对货物享有合法完整的所有权、知识产权及其他相应的权利。卖方依照本合同交付合同货物、提供服务及履行其他本合同项下的义务不会违反其组织章程，不会超越经营范围和方式，并不会违反与任何第三方达成的协议、承诺、任何政府部门或者司法/仲裁机构对其的要求。卖方保证买方不会因为合同货物侵犯任何知识产权而被提起索赔、指控或请求，否则，卖方应当就买方因此遭受的损失（包括但不限于直接损失、间接损失、律师费、诉讼费或仲裁费等）承担全部赔偿责任。</w:t>
      </w:r>
    </w:p>
    <w:p w14:paraId="5876E170">
      <w:pPr>
        <w:pStyle w:val="12"/>
        <w:wordWrap w:val="0"/>
        <w:spacing w:line="560" w:lineRule="exact"/>
        <w:ind w:firstLine="560"/>
        <w:jc w:val="both"/>
        <w:outlineLvl w:val="1"/>
        <w:rPr>
          <w:rFonts w:ascii="黑体" w:eastAsia="黑体"/>
          <w:b w:val="0"/>
          <w:snapToGrid w:val="0"/>
          <w:color w:val="000000"/>
          <w:sz w:val="28"/>
          <w:szCs w:val="28"/>
          <w:highlight w:val="none"/>
        </w:rPr>
      </w:pPr>
      <w:bookmarkStart w:id="11" w:name="_Toc10940"/>
      <w:bookmarkStart w:id="12" w:name="_Toc10463"/>
      <w:bookmarkStart w:id="13" w:name="_Toc25955"/>
      <w:r>
        <w:rPr>
          <w:rFonts w:hint="eastAsia" w:ascii="黑体" w:eastAsia="黑体"/>
          <w:b w:val="0"/>
          <w:snapToGrid w:val="0"/>
          <w:color w:val="000000"/>
          <w:sz w:val="28"/>
          <w:szCs w:val="28"/>
          <w:highlight w:val="none"/>
        </w:rPr>
        <w:t>2.合同价格</w:t>
      </w:r>
      <w:bookmarkEnd w:id="11"/>
      <w:bookmarkEnd w:id="12"/>
      <w:bookmarkEnd w:id="13"/>
    </w:p>
    <w:p w14:paraId="6A61EFDC">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snapToGrid w:val="0"/>
          <w:color w:val="000000"/>
          <w:kern w:val="0"/>
          <w:sz w:val="28"/>
          <w:szCs w:val="28"/>
          <w:highlight w:val="none"/>
        </w:rPr>
        <w:t>2.1本合同价格指卖方将合同货物运到合同约定交货地点并履行完毕其他合同义务所需的全部费用，包括但不限于人工费、材料费、保管费、安全文明费、咨询费、包装费、保险费、各种税费、运杂费、装卸车费、交通费、技术资料费、安装调试费、培训费、技术服务费（包括但不限于专用技术使用费、技术转让费、技术支持等费用）、设备费（包括但不限于备品配件、专用工器具）等乙方完成承包内容和范围所需的可能发生的一切费用及合同包含的所有风险、责任等；除本合同明确约定的以外，甲方无需再向乙方支付其他任何价款、费用或报销。</w:t>
      </w:r>
    </w:p>
    <w:p w14:paraId="76FF0531">
      <w:pPr>
        <w:wordWrap w:val="0"/>
        <w:snapToGrid w:val="0"/>
        <w:spacing w:line="560" w:lineRule="exact"/>
        <w:ind w:firstLine="641"/>
        <w:rPr>
          <w:rFonts w:hint="eastAsia" w:ascii="仿宋" w:hAnsi="仿宋" w:eastAsia="仿宋"/>
          <w:b w:val="0"/>
          <w:snapToGrid w:val="0"/>
          <w:color w:val="000000"/>
          <w:kern w:val="0"/>
          <w:sz w:val="28"/>
          <w:szCs w:val="28"/>
          <w:highlight w:val="none"/>
        </w:rPr>
      </w:pPr>
      <w:r>
        <w:rPr>
          <w:rFonts w:hint="eastAsia" w:ascii="仿宋" w:hAnsi="仿宋" w:eastAsia="仿宋"/>
          <w:b w:val="0"/>
          <w:snapToGrid w:val="0"/>
          <w:color w:val="000000"/>
          <w:kern w:val="0"/>
          <w:sz w:val="28"/>
          <w:szCs w:val="28"/>
          <w:highlight w:val="none"/>
        </w:rPr>
        <w:t>2.2卖方因违反本合同约定应向买方支付违约金、赔偿金或其它费用的，买方均有权从尚未支付卖方的合同价款中直接扣除，买方尚未支付的合同价款不足卖方应付违约金、赔偿金或其它费用数额的，卖方仍应向买方支付差额。</w:t>
      </w:r>
    </w:p>
    <w:p w14:paraId="3AA7DF15">
      <w:pPr>
        <w:pStyle w:val="12"/>
        <w:wordWrap w:val="0"/>
        <w:spacing w:line="560" w:lineRule="exact"/>
        <w:ind w:firstLine="560"/>
        <w:jc w:val="both"/>
        <w:outlineLvl w:val="1"/>
        <w:rPr>
          <w:rFonts w:ascii="黑体" w:eastAsia="黑体"/>
          <w:b w:val="0"/>
          <w:snapToGrid w:val="0"/>
          <w:color w:val="000000"/>
          <w:sz w:val="28"/>
          <w:szCs w:val="28"/>
          <w:highlight w:val="none"/>
        </w:rPr>
      </w:pPr>
      <w:bookmarkStart w:id="14" w:name="_Toc14828"/>
      <w:bookmarkStart w:id="15" w:name="_Toc337"/>
      <w:bookmarkStart w:id="16" w:name="_Toc4508"/>
      <w:r>
        <w:rPr>
          <w:rFonts w:hint="eastAsia" w:ascii="黑体" w:eastAsia="黑体"/>
          <w:b w:val="0"/>
          <w:snapToGrid w:val="0"/>
          <w:color w:val="000000"/>
          <w:sz w:val="28"/>
          <w:szCs w:val="28"/>
          <w:highlight w:val="none"/>
        </w:rPr>
        <w:t>3.交货</w:t>
      </w:r>
      <w:bookmarkEnd w:id="14"/>
      <w:bookmarkEnd w:id="15"/>
      <w:bookmarkEnd w:id="16"/>
    </w:p>
    <w:p w14:paraId="3279E440">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3.1 卖方应按照买方指定的时间、地点和方式向买方交付本合同项下的货物。</w:t>
      </w:r>
    </w:p>
    <w:p w14:paraId="13C16F58">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卖方应将共计两套技术资料（包括但不限于货物安装、使用所需的图纸及合格证书）随货物一并提交买方，否则视同延迟交货处理。</w:t>
      </w:r>
    </w:p>
    <w:p w14:paraId="71CBE573">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3.2 卖方负责货物运输，并承担由此发生的所有费用。</w:t>
      </w:r>
    </w:p>
    <w:p w14:paraId="3D4295F8">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3.3 货物的实际交货日期以符合合同要求的货物包括备品配件，到达合同约定的交货地点为准。</w:t>
      </w:r>
    </w:p>
    <w:p w14:paraId="49F10AA6">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 xml:space="preserve">3.4 </w:t>
      </w:r>
      <w:r>
        <w:rPr>
          <w:rFonts w:hint="eastAsia" w:ascii="仿宋" w:hAnsi="仿宋" w:eastAsia="仿宋"/>
          <w:color w:val="000000"/>
          <w:sz w:val="28"/>
          <w:szCs w:val="28"/>
          <w:highlight w:val="none"/>
          <w:lang w:val="en-US" w:eastAsia="zh-CN"/>
        </w:rPr>
        <w:t>合同货物</w:t>
      </w:r>
      <w:r>
        <w:rPr>
          <w:rFonts w:hint="eastAsia" w:ascii="仿宋" w:hAnsi="仿宋" w:eastAsia="仿宋"/>
          <w:color w:val="000000"/>
          <w:sz w:val="28"/>
          <w:szCs w:val="28"/>
          <w:highlight w:val="none"/>
        </w:rPr>
        <w:t>所有权自</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负责将物资运送至交货地点、交付</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时起转移，交付给</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之前的相关的运输、保险、保管等费用及物资灭失、损毁的一切风险由</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承担，并负责补足、更换、修理及承担相应费用。</w:t>
      </w:r>
    </w:p>
    <w:p w14:paraId="42A09E4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3.5 卖方物资发货须以买方或买方指定单位统一发送的交货通知书为准，否则不予结算。</w:t>
      </w:r>
    </w:p>
    <w:p w14:paraId="31413227">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3.6 卖方在收到买方指定单位发出的物资交货通知书后的3个工作日内需将物资运输计划以电子邮件或文本形式提交至买方指定单位。卖方未按期向买方交付运输计划的，每迟交1日，应向买方支付合同价格0.05%的违约金</w:t>
      </w:r>
      <w:r>
        <w:rPr>
          <w:rFonts w:hint="eastAsia" w:ascii="仿宋" w:hAnsi="仿宋" w:eastAsia="仿宋"/>
          <w:color w:val="000000"/>
          <w:sz w:val="28"/>
          <w:szCs w:val="28"/>
          <w:highlight w:val="none"/>
          <w:lang w:val="en-US" w:eastAsia="zh-CN"/>
        </w:rPr>
        <w:t>;合同约定物资如由于乙方原因无法供货的情况，应向买方支付合同价格10%的违约金。</w:t>
      </w:r>
    </w:p>
    <w:p w14:paraId="22B772CF">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3.7 卖方在货物到达现场完成物资交接相关手续之后，应在3个工作日内将到货验收单送至买方指定单位，每迟交1日，应向买方支付合同价格0.05%的违约金。</w:t>
      </w:r>
    </w:p>
    <w:p w14:paraId="5E194166">
      <w:pPr>
        <w:pStyle w:val="2"/>
        <w:spacing w:line="560" w:lineRule="exact"/>
        <w:ind w:left="0" w:leftChars="0"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lang w:val="en-US" w:eastAsia="zh-CN"/>
        </w:rPr>
        <w:t>3.8</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有权对交货时间进行调整，因</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要求逾期交货，</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不承担违约责任；当</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的通知到达</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时，交货时间即相应调整，</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应予执行并负担因此增加的相关合同价款和费用，即</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并不因调整交货时间而额外向</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支付任何费用或进行赔偿，</w:t>
      </w:r>
      <w:r>
        <w:rPr>
          <w:rFonts w:hint="eastAsia" w:ascii="仿宋" w:hAnsi="仿宋" w:eastAsia="仿宋"/>
          <w:color w:val="000000"/>
          <w:sz w:val="28"/>
          <w:szCs w:val="28"/>
          <w:highlight w:val="none"/>
          <w:lang w:eastAsia="zh-CN"/>
        </w:rPr>
        <w:t>卖方</w:t>
      </w:r>
      <w:r>
        <w:rPr>
          <w:rFonts w:hint="eastAsia" w:ascii="仿宋" w:hAnsi="仿宋" w:eastAsia="仿宋"/>
          <w:color w:val="000000"/>
          <w:sz w:val="28"/>
          <w:szCs w:val="28"/>
          <w:highlight w:val="none"/>
        </w:rPr>
        <w:t>亦放弃因此而向</w:t>
      </w:r>
      <w:r>
        <w:rPr>
          <w:rFonts w:hint="eastAsia" w:ascii="仿宋" w:hAnsi="仿宋" w:eastAsia="仿宋"/>
          <w:color w:val="000000"/>
          <w:sz w:val="28"/>
          <w:szCs w:val="28"/>
          <w:highlight w:val="none"/>
          <w:lang w:eastAsia="zh-CN"/>
        </w:rPr>
        <w:t>买方</w:t>
      </w:r>
      <w:r>
        <w:rPr>
          <w:rFonts w:hint="eastAsia" w:ascii="仿宋" w:hAnsi="仿宋" w:eastAsia="仿宋"/>
          <w:color w:val="000000"/>
          <w:sz w:val="28"/>
          <w:szCs w:val="28"/>
          <w:highlight w:val="none"/>
        </w:rPr>
        <w:t>主张任何费用或赔偿的权利。</w:t>
      </w:r>
    </w:p>
    <w:p w14:paraId="46DF8FCE">
      <w:pPr>
        <w:pStyle w:val="2"/>
        <w:spacing w:line="560" w:lineRule="exact"/>
        <w:ind w:left="0" w:leftChars="0" w:firstLine="560" w:firstLineChars="200"/>
        <w:rPr>
          <w:rFonts w:hint="eastAsia" w:ascii="仿宋" w:hAnsi="仿宋" w:eastAsia="仿宋"/>
          <w:color w:val="000000"/>
          <w:sz w:val="28"/>
          <w:szCs w:val="28"/>
          <w:highlight w:val="none"/>
          <w:lang w:val="en-US" w:eastAsia="zh-CN"/>
        </w:rPr>
      </w:pPr>
      <w:r>
        <w:rPr>
          <w:rFonts w:hint="eastAsia" w:ascii="仿宋" w:hAnsi="仿宋" w:eastAsia="仿宋"/>
          <w:color w:val="000000"/>
          <w:sz w:val="28"/>
          <w:szCs w:val="28"/>
          <w:highlight w:val="none"/>
          <w:lang w:val="en-US" w:eastAsia="zh-CN"/>
        </w:rPr>
        <w:t>3.9双方在确定交货及安装日期时，已充分考虑了停水、停电、节假日、高低温天气等各种因素，除出现人力不可抗拒因素或重大设计变更且经买方同意的，否则交货及安装时间不予调整。</w:t>
      </w:r>
    </w:p>
    <w:p w14:paraId="33CD2582">
      <w:pPr>
        <w:pStyle w:val="2"/>
        <w:spacing w:line="560" w:lineRule="exact"/>
        <w:ind w:left="0" w:leftChars="0" w:firstLine="560" w:firstLineChars="200"/>
        <w:rPr>
          <w:rFonts w:hint="default" w:ascii="仿宋" w:hAnsi="仿宋" w:eastAsia="仿宋"/>
          <w:color w:val="000000"/>
          <w:sz w:val="28"/>
          <w:szCs w:val="28"/>
          <w:highlight w:val="none"/>
          <w:lang w:val="en-US" w:eastAsia="zh-CN"/>
        </w:rPr>
      </w:pPr>
      <w:r>
        <w:rPr>
          <w:rFonts w:hint="eastAsia" w:ascii="仿宋" w:hAnsi="仿宋" w:eastAsia="仿宋"/>
          <w:color w:val="000000"/>
          <w:sz w:val="28"/>
          <w:szCs w:val="28"/>
          <w:highlight w:val="none"/>
          <w:lang w:val="en-US" w:eastAsia="zh-CN"/>
        </w:rPr>
        <w:t>3.10交货前，买方有权调整合同货物的数量。若买方调整合同货物数量，则买方将通知卖方。届时，采购单价不变、总价据实调整，卖方按买方调整后的数量进行供货，且买方并不因调整合同货物数量而额外向卖方支付任何费用或进行赔偿，卖方亦放弃因此而向买方主张任何费用或赔偿的权利。</w:t>
      </w:r>
    </w:p>
    <w:p w14:paraId="79FE7A40">
      <w:pPr>
        <w:pStyle w:val="12"/>
        <w:wordWrap w:val="0"/>
        <w:spacing w:line="560" w:lineRule="exact"/>
        <w:ind w:firstLine="560"/>
        <w:jc w:val="both"/>
        <w:outlineLvl w:val="1"/>
        <w:rPr>
          <w:rFonts w:ascii="黑体" w:eastAsia="黑体"/>
          <w:b w:val="0"/>
          <w:snapToGrid w:val="0"/>
          <w:color w:val="000000"/>
          <w:sz w:val="28"/>
          <w:szCs w:val="28"/>
          <w:highlight w:val="none"/>
        </w:rPr>
      </w:pPr>
      <w:bookmarkStart w:id="17" w:name="_Toc6723"/>
      <w:bookmarkStart w:id="18" w:name="_Toc6185"/>
      <w:bookmarkStart w:id="19" w:name="_Toc7808"/>
      <w:r>
        <w:rPr>
          <w:rFonts w:hint="eastAsia" w:ascii="黑体" w:eastAsia="黑体"/>
          <w:b w:val="0"/>
          <w:snapToGrid w:val="0"/>
          <w:color w:val="000000"/>
          <w:sz w:val="28"/>
          <w:szCs w:val="28"/>
          <w:highlight w:val="none"/>
        </w:rPr>
        <w:t>4.包装与标记</w:t>
      </w:r>
      <w:bookmarkEnd w:id="17"/>
      <w:bookmarkEnd w:id="18"/>
      <w:bookmarkEnd w:id="19"/>
    </w:p>
    <w:p w14:paraId="367795AF">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4.1 卖方交付的所有合同货物均应符合相关包装储运指示标志的规定，按照国家主管机关最新的规定进行包装，满足长途运输、能承受水平受力、垂直受力、多次搬运、装卸、防潮、防震、防碎等包装要求。卖方应在外包装上注明产品名称、型号并应按照合同货物的特点，按需要分别加上防冲撞、防霉、防锈、防腐蚀、防冻、防盗的保护措施。合同货物包装前，卖方应负责</w:t>
      </w:r>
      <w:r>
        <w:rPr>
          <w:rFonts w:hint="eastAsia" w:ascii="仿宋" w:hAnsi="仿宋" w:eastAsia="仿宋"/>
          <w:snapToGrid w:val="0"/>
          <w:kern w:val="0"/>
          <w:sz w:val="28"/>
          <w:highlight w:val="none"/>
        </w:rPr>
        <w:t>按照买方要求进行合同货物身份码标签的下载、制作和赋码，并在指定平台进行身份码信息维护，</w:t>
      </w:r>
      <w:r>
        <w:rPr>
          <w:rFonts w:hint="eastAsia" w:ascii="仿宋" w:hAnsi="仿宋" w:eastAsia="仿宋"/>
          <w:color w:val="000000"/>
          <w:sz w:val="28"/>
          <w:szCs w:val="28"/>
          <w:highlight w:val="none"/>
        </w:rPr>
        <w:t>按部套进行检查清理，不留异物，并保证零部件齐全。</w:t>
      </w:r>
    </w:p>
    <w:p w14:paraId="50105A8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sz w:val="28"/>
          <w:szCs w:val="28"/>
          <w:highlight w:val="none"/>
        </w:rPr>
        <w:t>4.2 合同货物严禁使用松木做包装材料（包括松木包装箱、线缆盘、垫木、固定支架等）。如使用其它木质包装材料，卖方应在发货前通知买方，并到当地森林检疫部门办理《植物检疫证书》。该证书必须随货同行，作为附随资料交付买方，并作为到货验收和入库凭据之一，否则买方有权拒收，且每批货物卖方应向买方支付不低于5000元的违约金。此外，办理《植物检疫证书》如需缴纳任何费用的，均由卖方承担。</w:t>
      </w:r>
    </w:p>
    <w:p w14:paraId="09501782">
      <w:pPr>
        <w:pStyle w:val="12"/>
        <w:wordWrap w:val="0"/>
        <w:spacing w:line="560" w:lineRule="exact"/>
        <w:ind w:firstLine="560"/>
        <w:jc w:val="both"/>
        <w:outlineLvl w:val="1"/>
        <w:rPr>
          <w:rFonts w:ascii="黑体" w:eastAsia="黑体"/>
          <w:b w:val="0"/>
          <w:snapToGrid w:val="0"/>
          <w:color w:val="000000"/>
          <w:sz w:val="28"/>
          <w:szCs w:val="28"/>
          <w:highlight w:val="none"/>
        </w:rPr>
      </w:pPr>
      <w:bookmarkStart w:id="20" w:name="_Toc25062"/>
      <w:bookmarkStart w:id="21" w:name="_Toc11417"/>
      <w:bookmarkStart w:id="22" w:name="_Toc11870"/>
      <w:r>
        <w:rPr>
          <w:rFonts w:hint="eastAsia" w:ascii="黑体" w:eastAsia="黑体"/>
          <w:b w:val="0"/>
          <w:snapToGrid w:val="0"/>
          <w:color w:val="000000"/>
          <w:sz w:val="28"/>
          <w:szCs w:val="28"/>
          <w:highlight w:val="none"/>
        </w:rPr>
        <w:t>5.到货检验</w:t>
      </w:r>
      <w:bookmarkEnd w:id="20"/>
      <w:bookmarkEnd w:id="21"/>
      <w:bookmarkEnd w:id="22"/>
    </w:p>
    <w:p w14:paraId="4E679A21">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5.1 货物到达交货地点后，买方将对货物的包装、外观及数量进行检验，货物检验合格后，由买方出具到货验收单给卖方。如发现货物非因买方原因有任何损坏、缺陷、短少或不符合合同约定的质量标准和规范的情况，卖方应在接到买方通知后，按照买方</w:t>
      </w:r>
      <w:r>
        <w:rPr>
          <w:rFonts w:hint="eastAsia" w:ascii="仿宋" w:hAnsi="仿宋" w:eastAsia="仿宋"/>
          <w:color w:val="000000"/>
          <w:sz w:val="28"/>
          <w:szCs w:val="28"/>
          <w:highlight w:val="none"/>
          <w:lang w:val="en-US" w:eastAsia="zh-CN"/>
        </w:rPr>
        <w:t>的</w:t>
      </w:r>
      <w:r>
        <w:rPr>
          <w:rFonts w:hint="eastAsia" w:ascii="仿宋" w:hAnsi="仿宋" w:eastAsia="仿宋"/>
          <w:color w:val="000000"/>
          <w:sz w:val="28"/>
          <w:szCs w:val="28"/>
          <w:highlight w:val="none"/>
        </w:rPr>
        <w:t>要求时限修理、更换，或补齐短缺部件，并承担相关费用。</w:t>
      </w:r>
    </w:p>
    <w:p w14:paraId="405E4772">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5.2 上述检验为现场的到货检验，现场检验未发现问题或卖方已按索赔要求予以修理、更换，或补齐短缺部件，均不减轻或免除卖方按合同约定所应承担的质量责任。</w:t>
      </w:r>
    </w:p>
    <w:p w14:paraId="5CED9C6F">
      <w:pPr>
        <w:wordWrap w:val="0"/>
        <w:snapToGrid w:val="0"/>
        <w:spacing w:line="560" w:lineRule="exact"/>
        <w:ind w:firstLine="560" w:firstLineChars="200"/>
        <w:rPr>
          <w:rFonts w:hint="default"/>
          <w:highlight w:val="none"/>
          <w:lang w:val="en-US"/>
        </w:rPr>
      </w:pPr>
      <w:r>
        <w:rPr>
          <w:rFonts w:hint="eastAsia" w:ascii="仿宋" w:hAnsi="仿宋" w:eastAsia="仿宋"/>
          <w:color w:val="000000"/>
          <w:sz w:val="28"/>
          <w:szCs w:val="28"/>
          <w:highlight w:val="none"/>
          <w:lang w:val="en-US" w:eastAsia="zh-CN"/>
        </w:rPr>
        <w:t>5.3 双方对卖方交付的货物是否符合合同约定有异议的，双方可以将货物提存，双方共同委托具有相应资质的鉴定机构进行鉴定，卖方不予配合的买方有权单方选择鉴定机构进行鉴定，该货物是否符合合同约定以鉴定结论为准，鉴定所支付的费用由乙方承担。</w:t>
      </w:r>
    </w:p>
    <w:p w14:paraId="1C54010B">
      <w:pPr>
        <w:pStyle w:val="12"/>
        <w:wordWrap w:val="0"/>
        <w:spacing w:line="560" w:lineRule="exact"/>
        <w:ind w:firstLine="560"/>
        <w:jc w:val="both"/>
        <w:outlineLvl w:val="1"/>
        <w:rPr>
          <w:rFonts w:ascii="黑体" w:eastAsia="黑体"/>
          <w:b w:val="0"/>
          <w:snapToGrid w:val="0"/>
          <w:color w:val="000000"/>
          <w:sz w:val="28"/>
          <w:szCs w:val="28"/>
          <w:highlight w:val="none"/>
        </w:rPr>
      </w:pPr>
      <w:bookmarkStart w:id="23" w:name="_Toc10741"/>
      <w:bookmarkStart w:id="24" w:name="_Toc13300"/>
      <w:bookmarkStart w:id="25" w:name="_Toc19827"/>
      <w:r>
        <w:rPr>
          <w:rFonts w:hint="eastAsia" w:ascii="黑体" w:eastAsia="黑体"/>
          <w:b w:val="0"/>
          <w:snapToGrid w:val="0"/>
          <w:color w:val="000000"/>
          <w:sz w:val="28"/>
          <w:szCs w:val="28"/>
          <w:highlight w:val="none"/>
        </w:rPr>
        <w:t>6.安装和质量保证</w:t>
      </w:r>
      <w:bookmarkEnd w:id="23"/>
      <w:bookmarkEnd w:id="24"/>
      <w:bookmarkEnd w:id="25"/>
    </w:p>
    <w:p w14:paraId="6D040705">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6.1 货物由卖方根据卖方提供的技术资料、检验标准、图纸及说明书进行安装，买方提供配合。</w:t>
      </w:r>
    </w:p>
    <w:p w14:paraId="43F2F65C">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6.2 如果货物安装过程中，由于卖方原因需要进行检查、试验、再试验、修理或更换，卖方应承担进行上述工作所需的费用。</w:t>
      </w:r>
    </w:p>
    <w:p w14:paraId="2E819DB4">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6.3 合同货物安装完毕后，卖方应按照买方通知参加验收并办理相关手续，卖方未按照买方通知参加验收的，视为卖方认可验收结果。合同货物通过验收并不能免除卖方在质量保证期内对合同货物应尽的责任和义务。</w:t>
      </w:r>
    </w:p>
    <w:p w14:paraId="6113E21D">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6.4 卖方承诺对所提供的货物提供</w:t>
      </w:r>
      <w:permStart w:id="0" w:edGrp="everyone"/>
      <w:r>
        <w:rPr>
          <w:rFonts w:hint="eastAsia" w:ascii="仿宋" w:hAnsi="仿宋" w:eastAsia="仿宋"/>
          <w:snapToGrid w:val="0"/>
          <w:color w:val="000000"/>
          <w:kern w:val="0"/>
          <w:sz w:val="28"/>
          <w:szCs w:val="28"/>
          <w:highlight w:val="none"/>
          <w:u w:val="single"/>
        </w:rPr>
        <w:t>12</w:t>
      </w:r>
      <w:permEnd w:id="0"/>
      <w:r>
        <w:rPr>
          <w:rFonts w:hint="eastAsia" w:ascii="仿宋" w:hAnsi="仿宋" w:eastAsia="仿宋"/>
          <w:color w:val="000000"/>
          <w:sz w:val="28"/>
          <w:szCs w:val="28"/>
          <w:highlight w:val="none"/>
        </w:rPr>
        <w:t>个月（含本数）的质量保证，质量保证期自合同货物通过最终验收之日起计算。国家法律、法规等规定的质量保证期长于卖方承诺的质量保证期的，适用国家法律、法规等规定。在货物质量保证期内，由于卖方责任需要修理、更换有缺陷的设备或部件导致货物停运或货物存在缺陷影响正常运行时，货物的质量保证期自卖方消除该缺陷后重新计算，由此产生的所有损失由卖方承担。如在质量保证期内发现设备或部件出现缺陷但不影响货物的正常运行，经维修或更换后的设备或部件的质量保证期重新计算。在货物质量保证期终止之前，卖方对所提供货物实行“三包”服务。</w:t>
      </w:r>
    </w:p>
    <w:p w14:paraId="456A259B">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6.5卖方承诺货物的寿命期限不少于</w:t>
      </w:r>
      <w:r>
        <w:rPr>
          <w:rFonts w:hint="eastAsia" w:ascii="仿宋" w:hAnsi="仿宋" w:eastAsia="仿宋"/>
          <w:color w:val="000000"/>
          <w:sz w:val="28"/>
          <w:szCs w:val="28"/>
          <w:highlight w:val="none"/>
          <w:u w:val="single"/>
        </w:rPr>
        <w:t>1</w:t>
      </w:r>
      <w:r>
        <w:rPr>
          <w:rFonts w:hint="eastAsia" w:ascii="仿宋" w:hAnsi="仿宋" w:eastAsia="仿宋"/>
          <w:color w:val="000000"/>
          <w:sz w:val="28"/>
          <w:szCs w:val="28"/>
          <w:highlight w:val="none"/>
        </w:rPr>
        <w:t>年或</w:t>
      </w:r>
      <w:r>
        <w:rPr>
          <w:rFonts w:hint="eastAsia" w:ascii="仿宋_GB2312" w:hAnsi="仿宋_GB2312" w:eastAsia="仿宋_GB2312" w:cs="仿宋_GB2312"/>
          <w:color w:val="000000"/>
          <w:sz w:val="28"/>
          <w:szCs w:val="28"/>
          <w:highlight w:val="none"/>
        </w:rPr>
        <w:t>不低于市场主流同类产品，以使用寿命最长的期限为准</w:t>
      </w:r>
      <w:r>
        <w:rPr>
          <w:rFonts w:hint="eastAsia" w:ascii="仿宋" w:hAnsi="仿宋" w:eastAsia="仿宋"/>
          <w:color w:val="000000"/>
          <w:sz w:val="28"/>
          <w:szCs w:val="28"/>
          <w:highlight w:val="none"/>
        </w:rPr>
        <w:t>。因卖方设计、材料或工艺的原因造成货物存在缺陷或出现故障的，卖方应按买方要求免费修理或更换有缺陷的设备或部件。</w:t>
      </w:r>
    </w:p>
    <w:p w14:paraId="5360591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6.6 在从货物运至交货地点之日起至质量保证期结束之日的期间，如发现卖方提供的货物有缺陷或故障，不符合本合同约定时，买方有权选择且卖方须采取以下补救措施：</w:t>
      </w:r>
    </w:p>
    <w:p w14:paraId="70FDACD7">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6.6.1 对不符合合同约定的货物进行修理，以使其符合合同要求，费用由卖方承担。除非买方同意，修理工作应在买方向卖方发出货物修理通知之日起30个日历日内（含本数）完成。</w:t>
      </w:r>
    </w:p>
    <w:p w14:paraId="52E8BF6F">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6.6.2 以符合合同要求的货物更换不符合要求的货物，费用由卖方承担。除非买方同意，更换应在买方向卖方发出更换货物通知之日起30个日历日内（含本数）完成。</w:t>
      </w:r>
    </w:p>
    <w:p w14:paraId="73684619">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6.6.3 买方将有缺陷的货物退还卖方，卖方负责将被退还的货物运出安装现场。在此种情况下，卖方应退还已收取的货款并承担买方支出的安装费、拆卸费、运输费、利息、银行手续费、检验费、仓储费、保险费及购买替代品所发生的额外支出等费用。</w:t>
      </w:r>
    </w:p>
    <w:p w14:paraId="020189BB">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6.7 卖方提供给买方的货物不得侵犯第三人的权利，卖方应保证买方在使用该货物或其任何一部分时免受第三方提出侵犯其任何专利、注册的设计、版权、商标或商品名称或其他知识产权工业设计权的起诉及索赔。若买方受到此类索赔或起诉，其责任及给买方造成的一切损失由卖方承担，买方有权单方面解除或终止本合同，同时卖方应向买方支付合同总额的10%的违约金。</w:t>
      </w:r>
    </w:p>
    <w:p w14:paraId="2184E7D7">
      <w:pPr>
        <w:wordWrap w:val="0"/>
        <w:snapToGrid w:val="0"/>
        <w:spacing w:line="560" w:lineRule="exact"/>
        <w:ind w:firstLine="560" w:firstLineChars="200"/>
        <w:rPr>
          <w:rFonts w:hint="eastAsia" w:ascii="仿宋" w:hAnsi="仿宋" w:eastAsia="仿宋"/>
          <w:color w:val="000000"/>
          <w:sz w:val="28"/>
          <w:szCs w:val="28"/>
          <w:highlight w:val="none"/>
          <w:lang w:val="en-US" w:eastAsia="zh-CN"/>
        </w:rPr>
      </w:pPr>
      <w:r>
        <w:rPr>
          <w:rFonts w:hint="eastAsia" w:ascii="仿宋" w:hAnsi="仿宋" w:eastAsia="仿宋"/>
          <w:color w:val="000000"/>
          <w:sz w:val="28"/>
          <w:szCs w:val="28"/>
          <w:highlight w:val="none"/>
          <w:lang w:val="en-US" w:eastAsia="zh-CN"/>
        </w:rPr>
        <w:t xml:space="preserve">6.8 </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方应负责货物装卸、安装过程中安装现场人员及财产安全。装卸、安装现场发生任何人身伤害或财产损失，均由</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方承担责任，造成</w:t>
      </w:r>
      <w:r>
        <w:rPr>
          <w:rFonts w:hint="eastAsia" w:ascii="仿宋" w:hAnsi="仿宋" w:eastAsia="仿宋"/>
          <w:color w:val="000000"/>
          <w:sz w:val="28"/>
          <w:szCs w:val="28"/>
          <w:highlight w:val="none"/>
        </w:rPr>
        <w:t>买</w:t>
      </w:r>
      <w:r>
        <w:rPr>
          <w:rFonts w:hint="eastAsia" w:ascii="仿宋" w:hAnsi="仿宋" w:eastAsia="仿宋"/>
          <w:color w:val="000000"/>
          <w:sz w:val="28"/>
          <w:szCs w:val="28"/>
          <w:highlight w:val="none"/>
          <w:lang w:val="en-US" w:eastAsia="zh-CN"/>
        </w:rPr>
        <w:t>方损失的，</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方应赔偿</w:t>
      </w:r>
      <w:r>
        <w:rPr>
          <w:rFonts w:hint="eastAsia" w:ascii="仿宋" w:hAnsi="仿宋" w:eastAsia="仿宋"/>
          <w:color w:val="000000"/>
          <w:sz w:val="28"/>
          <w:szCs w:val="28"/>
          <w:highlight w:val="none"/>
        </w:rPr>
        <w:t>买</w:t>
      </w:r>
      <w:r>
        <w:rPr>
          <w:rFonts w:hint="eastAsia" w:ascii="仿宋" w:hAnsi="仿宋" w:eastAsia="仿宋"/>
          <w:color w:val="000000"/>
          <w:sz w:val="28"/>
          <w:szCs w:val="28"/>
          <w:highlight w:val="none"/>
          <w:lang w:val="en-US" w:eastAsia="zh-CN"/>
        </w:rPr>
        <w:t>方全部直接及间接损失。</w:t>
      </w:r>
    </w:p>
    <w:p w14:paraId="4D4C6F7D">
      <w:pPr>
        <w:wordWrap w:val="0"/>
        <w:snapToGrid w:val="0"/>
        <w:spacing w:line="560" w:lineRule="exact"/>
        <w:ind w:firstLine="560" w:firstLineChars="200"/>
        <w:rPr>
          <w:rFonts w:hint="eastAsia" w:ascii="仿宋" w:hAnsi="仿宋" w:eastAsia="仿宋"/>
          <w:color w:val="000000"/>
          <w:sz w:val="28"/>
          <w:szCs w:val="28"/>
          <w:highlight w:val="none"/>
          <w:lang w:val="en-US" w:eastAsia="zh-CN"/>
        </w:rPr>
      </w:pPr>
      <w:r>
        <w:rPr>
          <w:rFonts w:hint="eastAsia" w:ascii="仿宋" w:hAnsi="仿宋" w:eastAsia="仿宋"/>
          <w:color w:val="000000"/>
          <w:sz w:val="28"/>
          <w:szCs w:val="28"/>
          <w:highlight w:val="none"/>
          <w:lang w:val="en-US" w:eastAsia="zh-CN"/>
        </w:rPr>
        <w:t>6.9 如因</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方工作人员在履行职务过程中的疏忽、失职、过错等故意或者过失原因给</w:t>
      </w:r>
      <w:r>
        <w:rPr>
          <w:rFonts w:hint="eastAsia" w:ascii="仿宋" w:hAnsi="仿宋" w:eastAsia="仿宋"/>
          <w:color w:val="000000"/>
          <w:sz w:val="28"/>
          <w:szCs w:val="28"/>
          <w:highlight w:val="none"/>
        </w:rPr>
        <w:t>买</w:t>
      </w:r>
      <w:r>
        <w:rPr>
          <w:rFonts w:hint="eastAsia" w:ascii="仿宋" w:hAnsi="仿宋" w:eastAsia="仿宋"/>
          <w:color w:val="000000"/>
          <w:sz w:val="28"/>
          <w:szCs w:val="28"/>
          <w:highlight w:val="none"/>
          <w:lang w:val="en-US" w:eastAsia="zh-CN"/>
        </w:rPr>
        <w:t>方造成损失或侵害，包括但不限于</w:t>
      </w:r>
      <w:r>
        <w:rPr>
          <w:rFonts w:hint="eastAsia" w:ascii="仿宋" w:hAnsi="仿宋" w:eastAsia="仿宋"/>
          <w:color w:val="000000"/>
          <w:sz w:val="28"/>
          <w:szCs w:val="28"/>
          <w:highlight w:val="none"/>
        </w:rPr>
        <w:t>买</w:t>
      </w:r>
      <w:r>
        <w:rPr>
          <w:rFonts w:hint="eastAsia" w:ascii="仿宋" w:hAnsi="仿宋" w:eastAsia="仿宋"/>
          <w:color w:val="000000"/>
          <w:sz w:val="28"/>
          <w:szCs w:val="28"/>
          <w:highlight w:val="none"/>
          <w:lang w:val="en-US" w:eastAsia="zh-CN"/>
        </w:rPr>
        <w:t>方本身的财产损失、由此而导致的</w:t>
      </w:r>
      <w:r>
        <w:rPr>
          <w:rFonts w:hint="eastAsia" w:ascii="仿宋" w:hAnsi="仿宋" w:eastAsia="仿宋"/>
          <w:color w:val="000000"/>
          <w:sz w:val="28"/>
          <w:szCs w:val="28"/>
          <w:highlight w:val="none"/>
        </w:rPr>
        <w:t>买</w:t>
      </w:r>
      <w:r>
        <w:rPr>
          <w:rFonts w:hint="eastAsia" w:ascii="仿宋" w:hAnsi="仿宋" w:eastAsia="仿宋"/>
          <w:color w:val="000000"/>
          <w:sz w:val="28"/>
          <w:szCs w:val="28"/>
          <w:highlight w:val="none"/>
          <w:lang w:val="en-US" w:eastAsia="zh-CN"/>
        </w:rPr>
        <w:t>方对任何第三方的法律责任等，</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方对此均应承担全部的赔偿责任。</w:t>
      </w:r>
    </w:p>
    <w:p w14:paraId="70285782">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lang w:val="en-US" w:eastAsia="zh-CN"/>
        </w:rPr>
        <w:t>6.10</w:t>
      </w:r>
      <w:r>
        <w:rPr>
          <w:rFonts w:hint="eastAsia" w:ascii="仿宋" w:hAnsi="仿宋" w:eastAsia="仿宋"/>
          <w:color w:val="000000"/>
          <w:sz w:val="28"/>
          <w:szCs w:val="28"/>
          <w:highlight w:val="none"/>
        </w:rPr>
        <w:t>卖</w:t>
      </w:r>
      <w:r>
        <w:rPr>
          <w:rFonts w:hint="eastAsia" w:ascii="仿宋" w:hAnsi="仿宋" w:eastAsia="仿宋"/>
          <w:color w:val="000000"/>
          <w:sz w:val="28"/>
          <w:szCs w:val="28"/>
          <w:highlight w:val="none"/>
          <w:lang w:val="en-US" w:eastAsia="zh-CN"/>
        </w:rPr>
        <w:t>方</w:t>
      </w:r>
      <w:r>
        <w:rPr>
          <w:rFonts w:hint="eastAsia" w:ascii="仿宋" w:hAnsi="仿宋" w:eastAsia="仿宋"/>
          <w:color w:val="000000"/>
          <w:sz w:val="28"/>
          <w:szCs w:val="28"/>
          <w:highlight w:val="none"/>
        </w:rPr>
        <w:t>在安装完毕经买</w:t>
      </w:r>
      <w:r>
        <w:rPr>
          <w:rFonts w:hint="eastAsia" w:ascii="仿宋" w:hAnsi="仿宋" w:eastAsia="仿宋"/>
          <w:color w:val="000000"/>
          <w:sz w:val="28"/>
          <w:szCs w:val="28"/>
          <w:highlight w:val="none"/>
          <w:lang w:val="en-US" w:eastAsia="zh-CN"/>
        </w:rPr>
        <w:t>方</w:t>
      </w:r>
      <w:r>
        <w:rPr>
          <w:rFonts w:hint="eastAsia" w:ascii="仿宋" w:hAnsi="仿宋" w:eastAsia="仿宋"/>
          <w:color w:val="000000"/>
          <w:sz w:val="28"/>
          <w:szCs w:val="28"/>
          <w:highlight w:val="none"/>
        </w:rPr>
        <w:t>验收合格之日起3日内撤出全部施工人员（维修人员除外）、工具和剩余材料。逾期视为卖</w:t>
      </w:r>
      <w:r>
        <w:rPr>
          <w:rFonts w:hint="eastAsia" w:ascii="仿宋" w:hAnsi="仿宋" w:eastAsia="仿宋"/>
          <w:color w:val="000000"/>
          <w:sz w:val="28"/>
          <w:szCs w:val="28"/>
          <w:highlight w:val="none"/>
          <w:lang w:val="en-US" w:eastAsia="zh-CN"/>
        </w:rPr>
        <w:t>方</w:t>
      </w:r>
      <w:r>
        <w:rPr>
          <w:rFonts w:hint="eastAsia" w:ascii="仿宋" w:hAnsi="仿宋" w:eastAsia="仿宋"/>
          <w:color w:val="000000"/>
          <w:sz w:val="28"/>
          <w:szCs w:val="28"/>
          <w:highlight w:val="none"/>
        </w:rPr>
        <w:t>放弃留存在现场所有材料、物品的所有权，买</w:t>
      </w:r>
      <w:r>
        <w:rPr>
          <w:rFonts w:hint="eastAsia" w:ascii="仿宋" w:hAnsi="仿宋" w:eastAsia="仿宋"/>
          <w:color w:val="000000"/>
          <w:sz w:val="28"/>
          <w:szCs w:val="28"/>
          <w:highlight w:val="none"/>
          <w:lang w:val="en-US" w:eastAsia="zh-CN"/>
        </w:rPr>
        <w:t>方</w:t>
      </w:r>
      <w:r>
        <w:rPr>
          <w:rFonts w:hint="eastAsia" w:ascii="仿宋" w:hAnsi="仿宋" w:eastAsia="仿宋"/>
          <w:color w:val="000000"/>
          <w:sz w:val="28"/>
          <w:szCs w:val="28"/>
          <w:highlight w:val="none"/>
        </w:rPr>
        <w:t>有权自行处置，且无需向卖</w:t>
      </w:r>
      <w:r>
        <w:rPr>
          <w:rFonts w:hint="eastAsia" w:ascii="仿宋" w:hAnsi="仿宋" w:eastAsia="仿宋"/>
          <w:color w:val="000000"/>
          <w:sz w:val="28"/>
          <w:szCs w:val="28"/>
          <w:highlight w:val="none"/>
          <w:lang w:val="en-US" w:eastAsia="zh-CN"/>
        </w:rPr>
        <w:t>方</w:t>
      </w:r>
      <w:r>
        <w:rPr>
          <w:rFonts w:hint="eastAsia" w:ascii="仿宋" w:hAnsi="仿宋" w:eastAsia="仿宋"/>
          <w:color w:val="000000"/>
          <w:sz w:val="28"/>
          <w:szCs w:val="28"/>
          <w:highlight w:val="none"/>
        </w:rPr>
        <w:t>承担任何赔偿责任。</w:t>
      </w:r>
    </w:p>
    <w:p w14:paraId="35AB2469">
      <w:pPr>
        <w:pStyle w:val="12"/>
        <w:wordWrap w:val="0"/>
        <w:spacing w:line="560" w:lineRule="exact"/>
        <w:ind w:firstLine="560"/>
        <w:jc w:val="both"/>
        <w:outlineLvl w:val="1"/>
        <w:rPr>
          <w:rFonts w:ascii="黑体" w:eastAsia="黑体"/>
          <w:b w:val="0"/>
          <w:snapToGrid w:val="0"/>
          <w:color w:val="000000"/>
          <w:sz w:val="28"/>
          <w:szCs w:val="28"/>
          <w:highlight w:val="none"/>
        </w:rPr>
      </w:pPr>
      <w:bookmarkStart w:id="26" w:name="_Toc6521"/>
      <w:bookmarkStart w:id="27" w:name="_Toc19883"/>
      <w:bookmarkStart w:id="28" w:name="_Toc20809"/>
      <w:r>
        <w:rPr>
          <w:rFonts w:hint="eastAsia" w:ascii="黑体" w:eastAsia="黑体"/>
          <w:b w:val="0"/>
          <w:snapToGrid w:val="0"/>
          <w:color w:val="000000"/>
          <w:sz w:val="28"/>
          <w:szCs w:val="28"/>
          <w:highlight w:val="none"/>
        </w:rPr>
        <w:t>7.违约责任</w:t>
      </w:r>
      <w:bookmarkEnd w:id="26"/>
      <w:bookmarkEnd w:id="27"/>
      <w:bookmarkEnd w:id="28"/>
    </w:p>
    <w:p w14:paraId="6D8DFEE9">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 卖方不履行本合同义务或者履行义务不符合约定的，买方有权要求卖方承担继续履行、赔偿损失和支付违约金等违约责任。</w:t>
      </w:r>
    </w:p>
    <w:p w14:paraId="42D2A179">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 xml:space="preserve">7.1.1 </w:t>
      </w:r>
      <w:r>
        <w:rPr>
          <w:rFonts w:hint="eastAsia" w:ascii="仿宋" w:hAnsi="仿宋" w:eastAsia="仿宋"/>
          <w:snapToGrid w:val="0"/>
          <w:kern w:val="0"/>
          <w:sz w:val="28"/>
          <w:highlight w:val="none"/>
        </w:rPr>
        <w:t>卖方违反合同约定迟延交货的，买方有权按迟交货物金额的1‰/天向卖方主张迟延交货违约金</w:t>
      </w:r>
      <w:r>
        <w:rPr>
          <w:rFonts w:hint="eastAsia" w:ascii="仿宋" w:hAnsi="仿宋" w:eastAsia="仿宋"/>
          <w:color w:val="000000"/>
          <w:sz w:val="28"/>
          <w:szCs w:val="28"/>
          <w:highlight w:val="none"/>
        </w:rPr>
        <w:t>。</w:t>
      </w:r>
    </w:p>
    <w:p w14:paraId="443A9F83">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7.1.2 卖方未按合同第6.6.1、6.6.2条约定时间履行修理、更换等义务的，</w:t>
      </w:r>
      <w:r>
        <w:rPr>
          <w:rFonts w:hint="eastAsia" w:ascii="仿宋" w:hAnsi="仿宋" w:eastAsia="仿宋"/>
          <w:snapToGrid w:val="0"/>
          <w:kern w:val="0"/>
          <w:sz w:val="28"/>
          <w:highlight w:val="none"/>
        </w:rPr>
        <w:t>买方有权按合同价格的1‰/天向卖方主张违约金</w:t>
      </w:r>
      <w:r>
        <w:rPr>
          <w:rFonts w:hint="eastAsia" w:ascii="仿宋" w:hAnsi="仿宋" w:eastAsia="仿宋"/>
          <w:color w:val="000000"/>
          <w:sz w:val="28"/>
          <w:szCs w:val="28"/>
          <w:highlight w:val="none"/>
        </w:rPr>
        <w:t>。卖方累计【</w:t>
      </w:r>
      <w:r>
        <w:rPr>
          <w:rFonts w:hint="eastAsia" w:ascii="仿宋" w:hAnsi="仿宋" w:eastAsia="仿宋"/>
          <w:color w:val="000000"/>
          <w:sz w:val="28"/>
          <w:szCs w:val="28"/>
          <w:highlight w:val="none"/>
          <w:lang w:val="en-US" w:eastAsia="zh-CN"/>
        </w:rPr>
        <w:t>5</w:t>
      </w:r>
      <w:r>
        <w:rPr>
          <w:rFonts w:hint="eastAsia" w:ascii="仿宋" w:hAnsi="仿宋" w:eastAsia="仿宋"/>
          <w:color w:val="000000"/>
          <w:sz w:val="28"/>
          <w:szCs w:val="28"/>
          <w:highlight w:val="none"/>
        </w:rPr>
        <w:t>】个日历日仍不履行相关义务的，买方有权用其他渠道和方式对卖方物资进行维护、维修或更换，由此产生的费用无需经过卖方的认可即可直接自卖方未付货款及质保金中扣除，不足部分由卖方另行支付买方；对此，卖方予以无条件承认并执行；且该等费用扣除后，并不等于免除卖方应负的任何责任。</w:t>
      </w:r>
    </w:p>
    <w:p w14:paraId="7F727276">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7.1.3 由于卖方货物质量或迟延交货等原因导致买方工程不能按期投入使用的，每逾期一天，卖方应向买方支付合同价格</w:t>
      </w:r>
      <w:r>
        <w:rPr>
          <w:rFonts w:hint="eastAsia" w:ascii="仿宋" w:hAnsi="仿宋" w:eastAsia="仿宋"/>
          <w:snapToGrid w:val="0"/>
          <w:kern w:val="0"/>
          <w:sz w:val="28"/>
          <w:highlight w:val="none"/>
        </w:rPr>
        <w:t>1‰</w:t>
      </w:r>
      <w:r>
        <w:rPr>
          <w:rFonts w:hint="eastAsia" w:ascii="仿宋" w:hAnsi="仿宋" w:eastAsia="仿宋"/>
          <w:color w:val="000000"/>
          <w:sz w:val="28"/>
          <w:szCs w:val="28"/>
          <w:highlight w:val="none"/>
        </w:rPr>
        <w:t>的违约金。</w:t>
      </w:r>
    </w:p>
    <w:p w14:paraId="4D7D1C0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7.1.4 在质保期内，由于卖方设计、材料、制造缺陷造成货物无法正常使用的，每发生一次卖方应向买方支付合同价格2%的违约金。</w:t>
      </w:r>
    </w:p>
    <w:p w14:paraId="0BCADAE4">
      <w:pPr>
        <w:wordWrap w:val="0"/>
        <w:snapToGrid w:val="0"/>
        <w:spacing w:line="560" w:lineRule="exact"/>
        <w:ind w:firstLine="560" w:firstLineChars="200"/>
        <w:rPr>
          <w:rFonts w:ascii="仿宋" w:hAnsi="仿宋" w:eastAsia="仿宋"/>
          <w:color w:val="000000"/>
          <w:sz w:val="28"/>
          <w:szCs w:val="28"/>
          <w:highlight w:val="none"/>
        </w:rPr>
      </w:pPr>
      <w:bookmarkStart w:id="29" w:name="OLE_LINK1"/>
      <w:r>
        <w:rPr>
          <w:rFonts w:hint="eastAsia" w:ascii="仿宋" w:hAnsi="仿宋" w:eastAsia="仿宋"/>
          <w:color w:val="000000"/>
          <w:sz w:val="28"/>
          <w:szCs w:val="28"/>
          <w:highlight w:val="none"/>
        </w:rPr>
        <w:t>7.1.5 发生以下情况之一时，买方有权单方面解除或终止合同（买方决定单方面终止/解除本合同的，本合同自通知书送达之日起终止/解除），并可要求卖方退还买方已支付的全部（或部分）合同价款；在第（1）、（2）、（4）、（5）和（6）种情况下买方同时有权要求卖方支付全部（或部分）合同价款20％的违约金：</w:t>
      </w:r>
    </w:p>
    <w:p w14:paraId="4AF2B565">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（1）卖方提供的货物完全不能使用；</w:t>
      </w:r>
    </w:p>
    <w:p w14:paraId="45A16065">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（2）卖方明确表示无法供货或买方有合理理由认为卖方无法供货；</w:t>
      </w:r>
    </w:p>
    <w:p w14:paraId="0A666DCD">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（3）卖方出现违约行为，应支付的违约金总额达到合同价格的20%；</w:t>
      </w:r>
    </w:p>
    <w:p w14:paraId="10AD078C">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（4）卖方出现违约行为，经买方通知后在限定时间内仍不改正的；</w:t>
      </w:r>
    </w:p>
    <w:p w14:paraId="3175CFF6">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（5）卖方不履行本合同约定的其他义务，经买方书面通知后【</w:t>
      </w:r>
      <w:r>
        <w:rPr>
          <w:rFonts w:hint="eastAsia" w:ascii="仿宋" w:hAnsi="仿宋" w:eastAsia="仿宋"/>
          <w:color w:val="000000"/>
          <w:sz w:val="28"/>
          <w:szCs w:val="28"/>
          <w:highlight w:val="none"/>
          <w:lang w:val="en-US" w:eastAsia="zh-CN"/>
        </w:rPr>
        <w:t>5</w:t>
      </w:r>
      <w:r>
        <w:rPr>
          <w:rFonts w:hint="eastAsia" w:ascii="仿宋" w:hAnsi="仿宋" w:eastAsia="仿宋"/>
          <w:color w:val="000000"/>
          <w:sz w:val="28"/>
          <w:szCs w:val="28"/>
          <w:highlight w:val="none"/>
        </w:rPr>
        <w:t>】个工作日内仍不履行的；</w:t>
      </w:r>
    </w:p>
    <w:p w14:paraId="63C9557E">
      <w:pPr>
        <w:wordWrap w:val="0"/>
        <w:snapToGrid w:val="0"/>
        <w:spacing w:line="560" w:lineRule="exact"/>
        <w:ind w:firstLine="641"/>
        <w:rPr>
          <w:rFonts w:hint="default" w:ascii="仿宋" w:hAnsi="仿宋" w:eastAsia="仿宋"/>
          <w:color w:val="000000"/>
          <w:sz w:val="28"/>
          <w:szCs w:val="28"/>
          <w:highlight w:val="none"/>
          <w:lang w:val="en-US" w:eastAsia="zh-CN"/>
        </w:rPr>
      </w:pPr>
      <w:r>
        <w:rPr>
          <w:rFonts w:hint="eastAsia" w:ascii="仿宋" w:hAnsi="仿宋" w:eastAsia="仿宋"/>
          <w:color w:val="000000"/>
          <w:sz w:val="28"/>
          <w:szCs w:val="28"/>
          <w:highlight w:val="none"/>
        </w:rPr>
        <w:t>（6）</w:t>
      </w:r>
      <w:r>
        <w:rPr>
          <w:rFonts w:hint="eastAsia" w:ascii="仿宋" w:hAnsi="仿宋" w:eastAsia="仿宋"/>
          <w:color w:val="000000"/>
          <w:sz w:val="28"/>
          <w:szCs w:val="28"/>
          <w:highlight w:val="none"/>
          <w:lang w:val="en-US" w:eastAsia="zh-CN"/>
        </w:rPr>
        <w:t>逾期交货超过3日的；</w:t>
      </w:r>
    </w:p>
    <w:p w14:paraId="00E53832">
      <w:pPr>
        <w:wordWrap w:val="0"/>
        <w:snapToGrid w:val="0"/>
        <w:spacing w:line="56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lang w:eastAsia="zh-CN"/>
        </w:rPr>
        <w:t>（</w:t>
      </w:r>
      <w:r>
        <w:rPr>
          <w:rFonts w:hint="eastAsia" w:ascii="仿宋" w:hAnsi="仿宋" w:eastAsia="仿宋"/>
          <w:color w:val="000000"/>
          <w:sz w:val="28"/>
          <w:szCs w:val="28"/>
          <w:highlight w:val="none"/>
          <w:lang w:val="en-US" w:eastAsia="zh-CN"/>
        </w:rPr>
        <w:t>7</w:t>
      </w:r>
      <w:r>
        <w:rPr>
          <w:rFonts w:hint="eastAsia" w:ascii="仿宋" w:hAnsi="仿宋" w:eastAsia="仿宋"/>
          <w:color w:val="000000"/>
          <w:sz w:val="28"/>
          <w:szCs w:val="28"/>
          <w:highlight w:val="none"/>
          <w:lang w:eastAsia="zh-CN"/>
        </w:rPr>
        <w:t>）</w:t>
      </w:r>
      <w:r>
        <w:rPr>
          <w:rFonts w:hint="eastAsia" w:ascii="仿宋" w:hAnsi="仿宋" w:eastAsia="仿宋"/>
          <w:color w:val="000000"/>
          <w:sz w:val="28"/>
          <w:szCs w:val="28"/>
          <w:highlight w:val="none"/>
        </w:rPr>
        <w:t>卖方违反本合同项下的任何承诺、保证的。</w:t>
      </w:r>
      <w:bookmarkEnd w:id="29"/>
    </w:p>
    <w:p w14:paraId="5C761ABC">
      <w:pPr>
        <w:wordWrap w:val="0"/>
        <w:snapToGrid w:val="0"/>
        <w:spacing w:line="560" w:lineRule="exact"/>
        <w:ind w:firstLine="641"/>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买方终止合同的，有权以依其认为适当的条件和方式购买与本合同项下货物类似的货物，由此发生的额外费用由卖方承担。</w:t>
      </w:r>
    </w:p>
    <w:p w14:paraId="12E7F261">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7.1.6 卖方按合同约定应支付的违约金低于给买方造成的损失的，并应就差额部分向买方进行赔偿。</w:t>
      </w:r>
    </w:p>
    <w:p w14:paraId="2EC6F7A9">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7.1.7 未经买方书面同意，卖方将本合同项下的应收账款债权转让、质押或者办理保理的，卖方应按照合同价格的</w:t>
      </w:r>
      <w:r>
        <w:rPr>
          <w:rFonts w:ascii="仿宋" w:hAnsi="仿宋" w:eastAsia="仿宋"/>
          <w:color w:val="000000"/>
          <w:sz w:val="28"/>
          <w:szCs w:val="28"/>
          <w:highlight w:val="none"/>
          <w:u w:val="single"/>
        </w:rPr>
        <w:t>5</w:t>
      </w:r>
      <w:r>
        <w:rPr>
          <w:rFonts w:hint="eastAsia" w:ascii="仿宋" w:hAnsi="仿宋" w:eastAsia="仿宋"/>
          <w:color w:val="000000"/>
          <w:sz w:val="28"/>
          <w:szCs w:val="28"/>
          <w:highlight w:val="none"/>
        </w:rPr>
        <w:t>%向买方支付违约金。</w:t>
      </w:r>
    </w:p>
    <w:p w14:paraId="6C586A9D">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7.1.8卖方违约时，还需要向买方支付损失费用，包括不限于对买方所造成的直接损失、可得利益损失、买方支付给第三方的赔偿费用/违约金/罚款、调查取证费用/公证费、诉讼费用、律师费用、诉讼费或仲裁费、保全费、保全保险费、公告费、执行费、鉴定费、评估费以及因此而支付的其他合理费用。</w:t>
      </w:r>
    </w:p>
    <w:p w14:paraId="0A6B606A">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7.2 买方逾期支付合同价款的，应就逾期部分向卖方支付按合同订立时全国银行间同业拆借中心公布的1年期存款利率计算的逾期付款违约金。</w:t>
      </w:r>
    </w:p>
    <w:p w14:paraId="12B597E6">
      <w:pPr>
        <w:wordWrap w:val="0"/>
        <w:snapToGrid w:val="0"/>
        <w:spacing w:line="560" w:lineRule="exact"/>
        <w:ind w:firstLine="560" w:firstLineChars="200"/>
        <w:rPr>
          <w:rFonts w:hint="eastAsia" w:ascii="仿宋" w:hAnsi="仿宋" w:eastAsia="仿宋"/>
          <w:color w:val="000000"/>
          <w:sz w:val="28"/>
          <w:szCs w:val="28"/>
          <w:highlight w:val="none"/>
          <w:lang w:val="en-US" w:eastAsia="zh-CN"/>
        </w:rPr>
      </w:pPr>
      <w:r>
        <w:rPr>
          <w:rFonts w:hint="eastAsia" w:ascii="仿宋" w:hAnsi="仿宋" w:eastAsia="仿宋"/>
          <w:color w:val="000000"/>
          <w:sz w:val="28"/>
          <w:szCs w:val="28"/>
          <w:highlight w:val="none"/>
          <w:lang w:val="en-US" w:eastAsia="zh-CN"/>
        </w:rPr>
        <w:t>7.3</w:t>
      </w:r>
      <w:r>
        <w:rPr>
          <w:rFonts w:hint="eastAsia" w:ascii="仿宋" w:hAnsi="仿宋" w:eastAsia="仿宋" w:cs="Times New Roman"/>
          <w:b w:val="0"/>
          <w:bCs w:val="0"/>
          <w:color w:val="000000"/>
          <w:sz w:val="28"/>
          <w:szCs w:val="28"/>
          <w:highlight w:val="none"/>
          <w:u w:val="none"/>
          <w:lang w:val="en-US" w:eastAsia="zh-CN"/>
        </w:rPr>
        <w:t>卖方应当严格按照本合同约定履行合同约定的义务，卖方不履行本合同约定的义务或履行义务不符合合同约定的，买方有权解除合同，卖方应当赔偿由此给买方造成的一切直接及间接经济损失，并承担本合同总价款20%的违约金，本合同另有约定的除外。</w:t>
      </w:r>
    </w:p>
    <w:p w14:paraId="63B0B21E">
      <w:pPr>
        <w:pStyle w:val="12"/>
        <w:wordWrap w:val="0"/>
        <w:spacing w:line="560" w:lineRule="exact"/>
        <w:ind w:firstLine="560"/>
        <w:jc w:val="both"/>
        <w:outlineLvl w:val="1"/>
        <w:rPr>
          <w:rFonts w:ascii="黑体" w:eastAsia="黑体"/>
          <w:b w:val="0"/>
          <w:snapToGrid w:val="0"/>
          <w:color w:val="000000"/>
          <w:sz w:val="28"/>
          <w:szCs w:val="28"/>
          <w:highlight w:val="none"/>
        </w:rPr>
      </w:pPr>
      <w:bookmarkStart w:id="30" w:name="_Toc4632"/>
      <w:bookmarkStart w:id="31" w:name="_Toc31226"/>
      <w:bookmarkStart w:id="32" w:name="_Toc27861"/>
      <w:r>
        <w:rPr>
          <w:rFonts w:hint="eastAsia" w:ascii="黑体" w:eastAsia="黑体"/>
          <w:b w:val="0"/>
          <w:snapToGrid w:val="0"/>
          <w:color w:val="000000"/>
          <w:sz w:val="28"/>
          <w:szCs w:val="28"/>
          <w:highlight w:val="none"/>
        </w:rPr>
        <w:t>8.不可抗力</w:t>
      </w:r>
      <w:bookmarkEnd w:id="30"/>
      <w:bookmarkEnd w:id="31"/>
      <w:bookmarkEnd w:id="32"/>
    </w:p>
    <w:p w14:paraId="2C1F54EB">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8.1 本合同中不可抗力是指不能预见、不能避免并不能克服的客观情况，包括但不限于自然灾害、战争、武装冲突、社会动乱、暴乱或按照本条的定义构成不可抗力的其他事件。</w:t>
      </w:r>
    </w:p>
    <w:p w14:paraId="6C91A1DE">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8.2 任何一方由于不可抗力而影响本合同义务履行时，可根据不可抗力的影响程度和范围延迟或免除履行部分或全部合同义务。但是受不可抗力影响的一方应尽量减小不可抗力引起的延误或其他不利影响，并在不可抗力影响消除后，立即通知对方。任何一方不得因不可抗力造成的延迟而要求调整合同价格。</w:t>
      </w:r>
    </w:p>
    <w:p w14:paraId="0D4B25C0">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8.3 受到不可抗力影响的一方应在不可抗力事件发生后2周内（含本数），取得有关部门关于发生不可抗力事件的证明文件，并以传真等书面形式提交另一方确认。否则，无权以不可抗力为由要求减轻或免除合同责任。</w:t>
      </w:r>
    </w:p>
    <w:p w14:paraId="565D2621">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8.4 如果不可抗力事件的影响已达120天或双方预计不可抗力事件的影响将延续120天以上（含本数）时，任何一方有权终止本合同。由于合同终止所引起的后续问题由双方友好协商解决。</w:t>
      </w:r>
    </w:p>
    <w:p w14:paraId="20215CAE">
      <w:pPr>
        <w:pStyle w:val="12"/>
        <w:jc w:val="left"/>
        <w:outlineLvl w:val="1"/>
        <w:rPr>
          <w:rFonts w:hint="eastAsia" w:ascii="黑体" w:hAnsi="方正仿宋_GBK" w:eastAsia="黑体"/>
          <w:b w:val="0"/>
          <w:snapToGrid w:val="0"/>
          <w:color w:val="000000"/>
          <w:sz w:val="28"/>
          <w:szCs w:val="28"/>
          <w:highlight w:val="none"/>
        </w:rPr>
      </w:pPr>
      <w:bookmarkStart w:id="33" w:name="_Toc7441"/>
      <w:r>
        <w:rPr>
          <w:rFonts w:hint="eastAsia" w:ascii="黑体" w:hAnsi="方正仿宋_GBK" w:eastAsia="黑体"/>
          <w:b w:val="0"/>
          <w:snapToGrid w:val="0"/>
          <w:color w:val="000000"/>
          <w:kern w:val="44"/>
          <w:sz w:val="28"/>
          <w:szCs w:val="28"/>
          <w:highlight w:val="none"/>
        </w:rPr>
        <w:t>9.反商业贿赂</w:t>
      </w:r>
      <w:bookmarkEnd w:id="33"/>
    </w:p>
    <w:p w14:paraId="3B141BD8">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9.1为维护买卖双方共同利益，促进双方良好发展，卖方不得向买方任何员工行贿（包括但不限于明扣、暗扣、现金、购物卡、实物、有价证券、旅游或其他非物质性利益等），以图获取任何不正当商业利益特殊的商业待遇。</w:t>
      </w:r>
    </w:p>
    <w:p w14:paraId="6892C8EA">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9.2卖方不得以任何理由妨碍或阻止买方查处其员工的收受贿赂行为。</w:t>
      </w:r>
    </w:p>
    <w:p w14:paraId="3C4FD9C5">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9.3买方员工不得以任何名义向卖方索取或收受金钱、物品及任何形式的馈赠，卖方得知买方员工有上述不正当商业行为的，须在第一时间向买方通报并提供相关证据。</w:t>
      </w:r>
    </w:p>
    <w:p w14:paraId="03104D41">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9.4卖方如有违反上述任一条款，均构成严重违约，买方有权停止合作、解除合同，并对卖方采取冻结应付账款等措施，并要求卖方承担合同总价款30%的违约金。</w:t>
      </w:r>
    </w:p>
    <w:p w14:paraId="6E5CD6BD">
      <w:pPr>
        <w:pStyle w:val="12"/>
        <w:jc w:val="left"/>
        <w:outlineLvl w:val="1"/>
        <w:rPr>
          <w:rFonts w:hint="eastAsia" w:ascii="黑体" w:hAnsi="方正仿宋_GBK" w:eastAsia="黑体"/>
          <w:b w:val="0"/>
          <w:snapToGrid w:val="0"/>
          <w:color w:val="000000"/>
          <w:sz w:val="28"/>
          <w:szCs w:val="28"/>
          <w:highlight w:val="none"/>
        </w:rPr>
      </w:pPr>
      <w:bookmarkStart w:id="34" w:name="_Toc12477"/>
      <w:r>
        <w:rPr>
          <w:rFonts w:hint="eastAsia" w:ascii="黑体" w:hAnsi="方正仿宋_GBK" w:eastAsia="黑体"/>
          <w:b w:val="0"/>
          <w:snapToGrid w:val="0"/>
          <w:color w:val="000000"/>
          <w:kern w:val="44"/>
          <w:sz w:val="28"/>
          <w:szCs w:val="28"/>
          <w:highlight w:val="none"/>
        </w:rPr>
        <w:t>10.协议变更与解除</w:t>
      </w:r>
      <w:bookmarkEnd w:id="34"/>
    </w:p>
    <w:p w14:paraId="285EC28B">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10.1各方协商一致，可以书面形式对本协议进行变更或解除。</w:t>
      </w:r>
    </w:p>
    <w:p w14:paraId="074E5431">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10.2.卖方有任何违约行为，买方均有权立刻解除本协议，通知送达卖方即视为本协议已解除/终止。</w:t>
      </w:r>
    </w:p>
    <w:p w14:paraId="5D40ACC5">
      <w:pPr>
        <w:wordWrap w:val="0"/>
        <w:snapToGrid w:val="0"/>
        <w:spacing w:line="560" w:lineRule="exact"/>
        <w:ind w:firstLine="560" w:firstLineChars="200"/>
        <w:rPr>
          <w:rFonts w:hint="eastAsia" w:ascii="仿宋" w:hAnsi="仿宋" w:eastAsia="仿宋"/>
          <w:color w:val="000000"/>
          <w:sz w:val="28"/>
          <w:szCs w:val="28"/>
          <w:highlight w:val="none"/>
          <w:lang w:val="en-US" w:eastAsia="zh-CN"/>
        </w:rPr>
      </w:pPr>
      <w:r>
        <w:rPr>
          <w:rFonts w:hint="eastAsia" w:ascii="仿宋" w:hAnsi="仿宋" w:eastAsia="仿宋"/>
          <w:color w:val="000000"/>
          <w:sz w:val="28"/>
          <w:szCs w:val="28"/>
          <w:highlight w:val="none"/>
        </w:rPr>
        <w:t>10.3无论何种原因导致本合同解除，乙方所有人员、物资必须在甲方解除合同通知送达之日起三个工作日内撤离甲方现场。逾期则视为乙方放弃对留存在甲方现场的物资的所有权，甲方有权自行处置，处置费用由乙方承担，且甲方无需对乙方进行任何赔偿。</w:t>
      </w:r>
    </w:p>
    <w:p w14:paraId="6A47AA58">
      <w:pPr>
        <w:pStyle w:val="12"/>
        <w:wordWrap w:val="0"/>
        <w:spacing w:line="560" w:lineRule="exact"/>
        <w:ind w:firstLine="560"/>
        <w:jc w:val="both"/>
        <w:outlineLvl w:val="1"/>
        <w:rPr>
          <w:rFonts w:ascii="黑体" w:eastAsia="黑体"/>
          <w:b w:val="0"/>
          <w:snapToGrid w:val="0"/>
          <w:color w:val="000000"/>
          <w:sz w:val="28"/>
          <w:szCs w:val="28"/>
          <w:highlight w:val="none"/>
        </w:rPr>
      </w:pPr>
      <w:bookmarkStart w:id="35" w:name="_Toc16395"/>
      <w:bookmarkStart w:id="36" w:name="_Toc7659"/>
      <w:bookmarkStart w:id="37" w:name="_Toc16789"/>
      <w:r>
        <w:rPr>
          <w:rFonts w:hint="eastAsia" w:ascii="黑体" w:eastAsia="黑体"/>
          <w:b w:val="0"/>
          <w:snapToGrid w:val="0"/>
          <w:color w:val="000000"/>
          <w:sz w:val="28"/>
          <w:szCs w:val="28"/>
          <w:highlight w:val="none"/>
        </w:rPr>
        <w:t>11.适用法律</w:t>
      </w:r>
      <w:bookmarkEnd w:id="35"/>
      <w:bookmarkEnd w:id="36"/>
      <w:bookmarkEnd w:id="37"/>
    </w:p>
    <w:p w14:paraId="7D5E046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本合同的订立、解释、履行及争议解决，均适用中华人民共和国法律。</w:t>
      </w:r>
    </w:p>
    <w:p w14:paraId="63882DAF">
      <w:pPr>
        <w:pStyle w:val="12"/>
        <w:wordWrap w:val="0"/>
        <w:spacing w:line="560" w:lineRule="exact"/>
        <w:ind w:firstLine="560"/>
        <w:jc w:val="both"/>
        <w:outlineLvl w:val="1"/>
        <w:rPr>
          <w:rFonts w:ascii="黑体" w:eastAsia="黑体"/>
          <w:b w:val="0"/>
          <w:snapToGrid w:val="0"/>
          <w:color w:val="000000"/>
          <w:sz w:val="28"/>
          <w:szCs w:val="28"/>
          <w:highlight w:val="none"/>
        </w:rPr>
      </w:pPr>
      <w:bookmarkStart w:id="38" w:name="_Toc9062"/>
      <w:bookmarkStart w:id="39" w:name="_Toc27873"/>
      <w:bookmarkStart w:id="40" w:name="_Toc12842"/>
      <w:r>
        <w:rPr>
          <w:rFonts w:hint="eastAsia" w:ascii="黑体" w:eastAsia="黑体"/>
          <w:b w:val="0"/>
          <w:snapToGrid w:val="0"/>
          <w:color w:val="000000"/>
          <w:sz w:val="28"/>
          <w:szCs w:val="28"/>
          <w:highlight w:val="none"/>
        </w:rPr>
        <w:t>12.争议解决</w:t>
      </w:r>
      <w:bookmarkEnd w:id="38"/>
      <w:bookmarkEnd w:id="39"/>
      <w:bookmarkEnd w:id="40"/>
    </w:p>
    <w:p w14:paraId="504BEC8A">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snapToGrid w:val="0"/>
          <w:color w:val="000000"/>
          <w:kern w:val="0"/>
          <w:sz w:val="28"/>
          <w:szCs w:val="28"/>
          <w:highlight w:val="none"/>
        </w:rPr>
        <w:t>本合同争议解决方式见合同协议书。</w:t>
      </w:r>
    </w:p>
    <w:p w14:paraId="4050FBF0">
      <w:pPr>
        <w:pStyle w:val="12"/>
        <w:wordWrap w:val="0"/>
        <w:spacing w:line="560" w:lineRule="exact"/>
        <w:ind w:firstLine="560"/>
        <w:jc w:val="both"/>
        <w:outlineLvl w:val="1"/>
        <w:rPr>
          <w:rFonts w:ascii="黑体" w:eastAsia="黑体"/>
          <w:b w:val="0"/>
          <w:snapToGrid w:val="0"/>
          <w:color w:val="000000"/>
          <w:sz w:val="28"/>
          <w:szCs w:val="28"/>
          <w:highlight w:val="none"/>
        </w:rPr>
      </w:pPr>
      <w:bookmarkStart w:id="41" w:name="_Toc30798"/>
      <w:bookmarkStart w:id="42" w:name="_Toc21912"/>
      <w:bookmarkStart w:id="43" w:name="_Toc6426"/>
      <w:r>
        <w:rPr>
          <w:rFonts w:hint="eastAsia" w:ascii="黑体" w:eastAsia="黑体"/>
          <w:b w:val="0"/>
          <w:snapToGrid w:val="0"/>
          <w:color w:val="000000"/>
          <w:sz w:val="28"/>
          <w:szCs w:val="28"/>
          <w:highlight w:val="none"/>
        </w:rPr>
        <w:t>13.合同生效</w:t>
      </w:r>
      <w:bookmarkEnd w:id="41"/>
      <w:bookmarkEnd w:id="42"/>
      <w:bookmarkEnd w:id="43"/>
    </w:p>
    <w:p w14:paraId="658A2905">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本合同生效条件见合同协议书。</w:t>
      </w:r>
    </w:p>
    <w:p w14:paraId="4730EF09">
      <w:pPr>
        <w:pStyle w:val="12"/>
        <w:wordWrap w:val="0"/>
        <w:spacing w:line="560" w:lineRule="exact"/>
        <w:ind w:firstLine="560"/>
        <w:jc w:val="both"/>
        <w:outlineLvl w:val="1"/>
        <w:rPr>
          <w:rFonts w:ascii="黑体" w:eastAsia="黑体"/>
          <w:b w:val="0"/>
          <w:snapToGrid w:val="0"/>
          <w:color w:val="000000"/>
          <w:sz w:val="28"/>
          <w:szCs w:val="28"/>
          <w:highlight w:val="none"/>
        </w:rPr>
      </w:pPr>
      <w:bookmarkStart w:id="44" w:name="_Toc11941"/>
      <w:bookmarkStart w:id="45" w:name="_Toc7672"/>
      <w:bookmarkStart w:id="46" w:name="_Toc12728"/>
      <w:r>
        <w:rPr>
          <w:rFonts w:hint="eastAsia" w:ascii="黑体" w:eastAsia="黑体"/>
          <w:b w:val="0"/>
          <w:snapToGrid w:val="0"/>
          <w:color w:val="000000"/>
          <w:sz w:val="28"/>
          <w:szCs w:val="28"/>
          <w:highlight w:val="none"/>
        </w:rPr>
        <w:t>14.份数</w:t>
      </w:r>
      <w:bookmarkEnd w:id="44"/>
      <w:bookmarkEnd w:id="45"/>
      <w:bookmarkEnd w:id="46"/>
    </w:p>
    <w:p w14:paraId="34B3347D">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本合同份数在合同协议书中约定。</w:t>
      </w:r>
    </w:p>
    <w:p w14:paraId="733C1286">
      <w:pPr>
        <w:pStyle w:val="12"/>
        <w:wordWrap w:val="0"/>
        <w:spacing w:line="560" w:lineRule="exact"/>
        <w:ind w:firstLine="560"/>
        <w:jc w:val="both"/>
        <w:outlineLvl w:val="1"/>
        <w:rPr>
          <w:rFonts w:ascii="黑体" w:eastAsia="黑体"/>
          <w:b w:val="0"/>
          <w:snapToGrid w:val="0"/>
          <w:color w:val="000000"/>
          <w:sz w:val="28"/>
          <w:szCs w:val="28"/>
          <w:highlight w:val="none"/>
        </w:rPr>
      </w:pPr>
      <w:bookmarkStart w:id="47" w:name="_Toc21836"/>
      <w:bookmarkStart w:id="48" w:name="_Toc30493"/>
      <w:bookmarkStart w:id="49" w:name="_Toc5752"/>
      <w:r>
        <w:rPr>
          <w:rFonts w:hint="eastAsia" w:ascii="黑体" w:eastAsia="黑体"/>
          <w:b w:val="0"/>
          <w:snapToGrid w:val="0"/>
          <w:color w:val="000000"/>
          <w:sz w:val="28"/>
          <w:szCs w:val="28"/>
          <w:highlight w:val="none"/>
        </w:rPr>
        <w:t>15.保密</w:t>
      </w:r>
      <w:bookmarkEnd w:id="47"/>
      <w:bookmarkEnd w:id="48"/>
      <w:bookmarkEnd w:id="49"/>
    </w:p>
    <w:p w14:paraId="709FE191">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双方及其各自的雇员、代理人对对方提供的无论何种形式的客户信息、技术信息、价格、报价、折扣及其他资料、市场及产品信息承担保密的责任，不得以任何形式向第三方披露上述保密信息。本部分规定在本合同终止后仍然有效。</w:t>
      </w:r>
    </w:p>
    <w:p w14:paraId="48F0215E">
      <w:pPr>
        <w:wordWrap w:val="0"/>
        <w:snapToGrid w:val="0"/>
        <w:spacing w:line="560" w:lineRule="exact"/>
        <w:ind w:firstLine="560" w:firstLineChars="200"/>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16.送达</w:t>
      </w:r>
    </w:p>
    <w:p w14:paraId="7C78B5A7">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16.1 买卖双方因履行本合同而相互发出或者提供的所有通知、文件、资料，均可以通过《合同协议书》签署页载明的地址及各方提供的联系电话、电子邮箱、传真等方式进行送达。</w:t>
      </w:r>
    </w:p>
    <w:p w14:paraId="4088542B">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16.2 通过传真方式的，在发出传真时视为送达；以邮寄方式的，挂号寄出或者投邮当日视为送达；以电子邮件方式发送的，自发出时起24小时内视为送达。</w:t>
      </w:r>
    </w:p>
    <w:p w14:paraId="61D707F2">
      <w:pPr>
        <w:wordWrap w:val="0"/>
        <w:snapToGrid w:val="0"/>
        <w:spacing w:line="560" w:lineRule="exact"/>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16.3 双方任何一方变更名称、地址、联系人、电话、传真、电子信箱，应当书面通知对方；变更信息方未书面通知对方的或对方在收到书面通知前，一方按原信息送达的，视为一方已完成送达，因此造成信息变更方的不便和损失由信息变更方承担。</w:t>
      </w:r>
    </w:p>
    <w:p w14:paraId="277E98A5">
      <w:pPr>
        <w:wordWrap w:val="0"/>
        <w:snapToGrid w:val="0"/>
        <w:spacing w:line="560" w:lineRule="exact"/>
        <w:ind w:firstLine="560" w:firstLineChars="200"/>
        <w:rPr>
          <w:highlight w:val="none"/>
        </w:rPr>
      </w:pPr>
      <w:r>
        <w:rPr>
          <w:rFonts w:hint="eastAsia" w:ascii="仿宋" w:hAnsi="仿宋" w:eastAsia="仿宋"/>
          <w:color w:val="000000"/>
          <w:sz w:val="28"/>
          <w:szCs w:val="28"/>
          <w:highlight w:val="none"/>
        </w:rPr>
        <w:t>16.4 本通知和送达条款为独立条款，不受合同整体或其他条款的效力影响，始终有效，同时适用于司法送达。</w:t>
      </w:r>
    </w:p>
    <w:p w14:paraId="145C62DB">
      <w:pPr>
        <w:wordWrap w:val="0"/>
        <w:snapToGrid w:val="0"/>
        <w:spacing w:line="560" w:lineRule="exact"/>
        <w:ind w:firstLine="560" w:firstLineChars="200"/>
        <w:rPr>
          <w:rFonts w:hint="eastAsia" w:ascii="仿宋" w:hAnsi="仿宋" w:eastAsia="仿宋"/>
          <w:color w:val="000000"/>
          <w:sz w:val="28"/>
          <w:szCs w:val="28"/>
          <w:highlight w:val="none"/>
        </w:rPr>
      </w:pPr>
      <w:r>
        <w:rPr>
          <w:rFonts w:hint="eastAsia" w:ascii="仿宋" w:hAnsi="仿宋" w:eastAsia="仿宋"/>
          <w:color w:val="000000"/>
          <w:sz w:val="28"/>
          <w:szCs w:val="28"/>
          <w:highlight w:val="none"/>
        </w:rPr>
        <w:t>16.</w:t>
      </w:r>
      <w:r>
        <w:rPr>
          <w:rFonts w:hint="eastAsia" w:ascii="仿宋" w:hAnsi="仿宋" w:eastAsia="仿宋"/>
          <w:color w:val="000000"/>
          <w:sz w:val="28"/>
          <w:szCs w:val="28"/>
          <w:highlight w:val="none"/>
          <w:lang w:val="en-US" w:eastAsia="zh-CN"/>
        </w:rPr>
        <w:t>5</w:t>
      </w:r>
      <w:r>
        <w:rPr>
          <w:rFonts w:hint="eastAsia" w:ascii="仿宋" w:hAnsi="仿宋" w:eastAsia="仿宋"/>
          <w:color w:val="000000"/>
          <w:sz w:val="28"/>
          <w:szCs w:val="28"/>
          <w:highlight w:val="none"/>
        </w:rPr>
        <w:t xml:space="preserve"> 买方依卖方所留地址向卖方发送有关信函文件，因卖方所留地址有误或变更地址未通知买方的，责任由卖方承担，买方向卖方所发送的信函文件等视为已送达卖方。同时，卖方均同意在本协议中预留的地址、营业执照上载明的地址及电话等，均可作为送达诉讼文书的确认地址。即，只要人民法院将法律文书发送至卖方预留的地址即视为送达。因卖方自己提供或者确认的送达地址不准确、送达地址变更未及时告知买方，卖方或者卖方指定的联系人拒绝签收，导致法律文书未能被实际接收的，文书退回之日视为送达之日。</w:t>
      </w:r>
    </w:p>
    <w:p w14:paraId="12B8A606">
      <w:pPr>
        <w:wordWrap w:val="0"/>
        <w:snapToGrid w:val="0"/>
        <w:spacing w:line="480" w:lineRule="exact"/>
        <w:ind w:firstLine="560" w:firstLineChars="200"/>
        <w:rPr>
          <w:rFonts w:ascii="仿宋" w:hAnsi="仿宋" w:eastAsia="仿宋"/>
          <w:color w:val="000000"/>
          <w:sz w:val="28"/>
          <w:szCs w:val="28"/>
          <w:highlight w:val="none"/>
        </w:rPr>
      </w:pPr>
    </w:p>
    <w:p w14:paraId="5CF0DBC1">
      <w:pPr>
        <w:wordWrap w:val="0"/>
        <w:snapToGrid w:val="0"/>
        <w:spacing w:line="480" w:lineRule="exact"/>
        <w:ind w:firstLine="641"/>
        <w:rPr>
          <w:rFonts w:ascii="仿宋" w:hAnsi="仿宋" w:eastAsia="仿宋"/>
          <w:color w:val="000000"/>
          <w:sz w:val="28"/>
          <w:szCs w:val="28"/>
          <w:highlight w:val="none"/>
        </w:rPr>
      </w:pPr>
      <w:r>
        <w:rPr>
          <w:rFonts w:hint="eastAsia" w:ascii="仿宋" w:hAnsi="仿宋" w:eastAsia="仿宋"/>
          <w:color w:val="000000"/>
          <w:sz w:val="28"/>
          <w:szCs w:val="28"/>
          <w:highlight w:val="none"/>
        </w:rPr>
        <w:t>（以下无正文）</w:t>
      </w:r>
    </w:p>
    <w:p w14:paraId="18B938E5">
      <w:pPr>
        <w:pStyle w:val="4"/>
        <w:wordWrap w:val="0"/>
        <w:spacing w:line="240" w:lineRule="auto"/>
        <w:jc w:val="center"/>
        <w:rPr>
          <w:rFonts w:ascii="仿宋" w:hAnsi="仿宋" w:eastAsia="仿宋"/>
          <w:snapToGrid w:val="0"/>
          <w:color w:val="000000"/>
          <w:kern w:val="0"/>
          <w:sz w:val="28"/>
          <w:szCs w:val="28"/>
          <w:highlight w:val="none"/>
        </w:rPr>
      </w:pPr>
      <w:r>
        <w:rPr>
          <w:rFonts w:hint="eastAsia" w:ascii="仿宋" w:hAnsi="仿宋" w:eastAsia="仿宋"/>
          <w:snapToGrid w:val="0"/>
          <w:color w:val="000000"/>
          <w:kern w:val="0"/>
          <w:sz w:val="28"/>
          <w:szCs w:val="28"/>
          <w:highlight w:val="none"/>
        </w:rPr>
        <w:br w:type="page"/>
      </w:r>
      <w:bookmarkStart w:id="50" w:name="_Toc16488"/>
      <w:bookmarkStart w:id="51" w:name="_Toc10080"/>
      <w:bookmarkStart w:id="52" w:name="_Toc24866"/>
      <w:r>
        <w:rPr>
          <w:rFonts w:hint="eastAsia" w:ascii="华文中宋" w:hAnsi="华文中宋" w:eastAsia="华文中宋"/>
          <w:color w:val="000000"/>
          <w:sz w:val="32"/>
          <w:szCs w:val="32"/>
          <w:highlight w:val="none"/>
        </w:rPr>
        <w:t>第三部分 专用合同条款</w:t>
      </w:r>
      <w:bookmarkEnd w:id="50"/>
      <w:bookmarkEnd w:id="51"/>
      <w:bookmarkEnd w:id="52"/>
    </w:p>
    <w:p w14:paraId="51278D00">
      <w:pPr>
        <w:ind w:firstLine="560" w:firstLineChars="200"/>
        <w:rPr>
          <w:rFonts w:ascii="仿宋" w:hAnsi="仿宋" w:eastAsia="仿宋"/>
          <w:color w:val="000000"/>
          <w:sz w:val="28"/>
          <w:szCs w:val="28"/>
          <w:highlight w:val="none"/>
        </w:rPr>
      </w:pPr>
      <w:r>
        <w:rPr>
          <w:rFonts w:hint="eastAsia" w:ascii="仿宋" w:hAnsi="仿宋" w:eastAsia="仿宋"/>
          <w:color w:val="000000"/>
          <w:sz w:val="28"/>
          <w:szCs w:val="28"/>
          <w:highlight w:val="none"/>
        </w:rPr>
        <w:t>专用合同条款是合同各方经协商后对通用合同条款的</w:t>
      </w:r>
      <w:r>
        <w:rPr>
          <w:rFonts w:hint="eastAsia" w:ascii="仿宋" w:hAnsi="仿宋" w:eastAsia="仿宋"/>
          <w:color w:val="000000"/>
          <w:kern w:val="0"/>
          <w:sz w:val="28"/>
          <w:szCs w:val="28"/>
          <w:highlight w:val="none"/>
        </w:rPr>
        <w:t>修改或补充。专用合同条款与通用合同条款不一致时，以专用合同条款为准</w:t>
      </w:r>
      <w:r>
        <w:rPr>
          <w:rFonts w:hint="eastAsia" w:ascii="仿宋" w:hAnsi="仿宋" w:eastAsia="仿宋"/>
          <w:color w:val="000000"/>
          <w:sz w:val="28"/>
          <w:szCs w:val="28"/>
          <w:highlight w:val="none"/>
        </w:rPr>
        <w:t>。</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59"/>
        <w:gridCol w:w="2311"/>
        <w:gridCol w:w="4152"/>
      </w:tblGrid>
      <w:tr w14:paraId="33A51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59" w:type="dxa"/>
          </w:tcPr>
          <w:p w14:paraId="13386763">
            <w:pPr>
              <w:pStyle w:val="17"/>
              <w:jc w:val="center"/>
              <w:rPr>
                <w:highlight w:val="none"/>
              </w:rPr>
            </w:pPr>
            <w:r>
              <w:rPr>
                <w:rFonts w:hint="eastAsia" w:ascii="仿宋" w:hAnsi="仿宋" w:eastAsia="仿宋"/>
                <w:color w:val="000000"/>
                <w:sz w:val="28"/>
                <w:szCs w:val="28"/>
                <w:highlight w:val="none"/>
              </w:rPr>
              <w:t>合同事项</w:t>
            </w:r>
          </w:p>
        </w:tc>
        <w:tc>
          <w:tcPr>
            <w:tcW w:w="2311" w:type="dxa"/>
          </w:tcPr>
          <w:p w14:paraId="3D5A87EA">
            <w:pPr>
              <w:pStyle w:val="17"/>
              <w:jc w:val="center"/>
              <w:rPr>
                <w:highlight w:val="none"/>
              </w:rPr>
            </w:pPr>
            <w:r>
              <w:rPr>
                <w:rFonts w:hint="eastAsia" w:ascii="仿宋" w:hAnsi="仿宋" w:eastAsia="仿宋"/>
                <w:color w:val="000000"/>
                <w:sz w:val="28"/>
                <w:szCs w:val="28"/>
                <w:highlight w:val="none"/>
              </w:rPr>
              <w:t>条款项号</w:t>
            </w:r>
          </w:p>
        </w:tc>
        <w:tc>
          <w:tcPr>
            <w:tcW w:w="4152" w:type="dxa"/>
          </w:tcPr>
          <w:p w14:paraId="7399DD30">
            <w:pPr>
              <w:pStyle w:val="17"/>
              <w:jc w:val="center"/>
              <w:rPr>
                <w:highlight w:val="none"/>
              </w:rPr>
            </w:pPr>
            <w:r>
              <w:rPr>
                <w:rFonts w:hint="eastAsia" w:ascii="仿宋" w:hAnsi="仿宋" w:eastAsia="仿宋"/>
                <w:color w:val="000000"/>
                <w:sz w:val="28"/>
                <w:szCs w:val="28"/>
                <w:highlight w:val="none"/>
              </w:rPr>
              <w:t>约定内容</w:t>
            </w:r>
          </w:p>
        </w:tc>
      </w:tr>
      <w:tr w14:paraId="5E755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59" w:type="dxa"/>
          </w:tcPr>
          <w:p w14:paraId="154BCBFF">
            <w:pPr>
              <w:jc w:val="center"/>
              <w:rPr>
                <w:highlight w:val="none"/>
              </w:rPr>
            </w:pPr>
            <w:r>
              <w:rPr>
                <w:rFonts w:hint="eastAsia"/>
                <w:highlight w:val="none"/>
              </w:rPr>
              <w:t>/</w:t>
            </w:r>
          </w:p>
        </w:tc>
        <w:tc>
          <w:tcPr>
            <w:tcW w:w="2311" w:type="dxa"/>
          </w:tcPr>
          <w:p w14:paraId="52CC332A">
            <w:pPr>
              <w:jc w:val="center"/>
              <w:rPr>
                <w:highlight w:val="none"/>
              </w:rPr>
            </w:pPr>
            <w:r>
              <w:rPr>
                <w:rFonts w:hint="eastAsia"/>
                <w:highlight w:val="none"/>
              </w:rPr>
              <w:t>/</w:t>
            </w:r>
          </w:p>
        </w:tc>
        <w:tc>
          <w:tcPr>
            <w:tcW w:w="4152" w:type="dxa"/>
          </w:tcPr>
          <w:p w14:paraId="1C84B40D">
            <w:pPr>
              <w:jc w:val="center"/>
              <w:rPr>
                <w:highlight w:val="none"/>
              </w:rPr>
            </w:pPr>
            <w:r>
              <w:rPr>
                <w:rFonts w:hint="eastAsia"/>
                <w:highlight w:val="none"/>
              </w:rPr>
              <w:t>/</w:t>
            </w:r>
          </w:p>
        </w:tc>
      </w:tr>
      <w:tr w14:paraId="09351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59" w:type="dxa"/>
          </w:tcPr>
          <w:p w14:paraId="78443052">
            <w:pPr>
              <w:jc w:val="center"/>
              <w:rPr>
                <w:highlight w:val="none"/>
              </w:rPr>
            </w:pPr>
            <w:r>
              <w:rPr>
                <w:rFonts w:hint="eastAsia"/>
                <w:highlight w:val="none"/>
              </w:rPr>
              <w:t>/</w:t>
            </w:r>
          </w:p>
        </w:tc>
        <w:tc>
          <w:tcPr>
            <w:tcW w:w="2311" w:type="dxa"/>
          </w:tcPr>
          <w:p w14:paraId="7B2AC0FE">
            <w:pPr>
              <w:jc w:val="center"/>
              <w:rPr>
                <w:highlight w:val="none"/>
              </w:rPr>
            </w:pPr>
            <w:r>
              <w:rPr>
                <w:rFonts w:hint="eastAsia"/>
                <w:highlight w:val="none"/>
              </w:rPr>
              <w:t>/</w:t>
            </w:r>
          </w:p>
        </w:tc>
        <w:tc>
          <w:tcPr>
            <w:tcW w:w="4152" w:type="dxa"/>
          </w:tcPr>
          <w:p w14:paraId="74030FE7">
            <w:pPr>
              <w:jc w:val="center"/>
              <w:rPr>
                <w:highlight w:val="none"/>
              </w:rPr>
            </w:pPr>
            <w:r>
              <w:rPr>
                <w:rFonts w:hint="eastAsia"/>
                <w:highlight w:val="none"/>
              </w:rPr>
              <w:t>/</w:t>
            </w:r>
          </w:p>
        </w:tc>
      </w:tr>
      <w:tr w14:paraId="1B4C1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59" w:type="dxa"/>
          </w:tcPr>
          <w:p w14:paraId="64F579EF">
            <w:pPr>
              <w:jc w:val="center"/>
              <w:rPr>
                <w:highlight w:val="none"/>
              </w:rPr>
            </w:pPr>
            <w:r>
              <w:rPr>
                <w:rFonts w:hint="eastAsia"/>
                <w:highlight w:val="none"/>
              </w:rPr>
              <w:t>/</w:t>
            </w:r>
          </w:p>
        </w:tc>
        <w:tc>
          <w:tcPr>
            <w:tcW w:w="2311" w:type="dxa"/>
          </w:tcPr>
          <w:p w14:paraId="425C334F">
            <w:pPr>
              <w:jc w:val="center"/>
              <w:rPr>
                <w:highlight w:val="none"/>
              </w:rPr>
            </w:pPr>
            <w:r>
              <w:rPr>
                <w:rFonts w:hint="eastAsia"/>
                <w:highlight w:val="none"/>
              </w:rPr>
              <w:t>/</w:t>
            </w:r>
          </w:p>
        </w:tc>
        <w:tc>
          <w:tcPr>
            <w:tcW w:w="4152" w:type="dxa"/>
          </w:tcPr>
          <w:p w14:paraId="55710DA8">
            <w:pPr>
              <w:jc w:val="center"/>
              <w:rPr>
                <w:highlight w:val="none"/>
              </w:rPr>
            </w:pPr>
            <w:r>
              <w:rPr>
                <w:rFonts w:hint="eastAsia"/>
                <w:highlight w:val="none"/>
              </w:rPr>
              <w:t>/</w:t>
            </w:r>
          </w:p>
        </w:tc>
      </w:tr>
    </w:tbl>
    <w:p w14:paraId="1BC40305">
      <w:pPr>
        <w:pStyle w:val="17"/>
        <w:rPr>
          <w:highlight w:val="none"/>
        </w:rPr>
      </w:pPr>
    </w:p>
    <w:p w14:paraId="63A351EC">
      <w:pPr>
        <w:rPr>
          <w:highlight w:val="none"/>
        </w:rPr>
      </w:pPr>
    </w:p>
    <w:p w14:paraId="3C0BDA7F">
      <w:pPr>
        <w:pStyle w:val="2"/>
        <w:ind w:firstLine="560"/>
        <w:rPr>
          <w:highlight w:val="none"/>
        </w:rPr>
      </w:pPr>
    </w:p>
    <w:p w14:paraId="358DFF82">
      <w:pPr>
        <w:pStyle w:val="2"/>
        <w:ind w:firstLine="560"/>
        <w:rPr>
          <w:highlight w:val="none"/>
        </w:rPr>
      </w:pPr>
    </w:p>
    <w:p w14:paraId="582DE1A2">
      <w:pPr>
        <w:pStyle w:val="2"/>
        <w:ind w:firstLine="560"/>
        <w:rPr>
          <w:highlight w:val="none"/>
        </w:rPr>
      </w:pPr>
    </w:p>
    <w:p w14:paraId="36D50A0B">
      <w:pPr>
        <w:pStyle w:val="2"/>
        <w:ind w:firstLine="560"/>
        <w:rPr>
          <w:highlight w:val="none"/>
        </w:rPr>
      </w:pPr>
    </w:p>
    <w:p w14:paraId="1456A5FE">
      <w:pPr>
        <w:pStyle w:val="2"/>
        <w:ind w:firstLine="560"/>
        <w:rPr>
          <w:highlight w:val="none"/>
        </w:rPr>
      </w:pPr>
    </w:p>
    <w:p w14:paraId="6A80BA3C">
      <w:pPr>
        <w:pStyle w:val="2"/>
        <w:ind w:firstLine="560"/>
        <w:rPr>
          <w:highlight w:val="none"/>
        </w:rPr>
      </w:pPr>
    </w:p>
    <w:p w14:paraId="46C5D4C2">
      <w:pPr>
        <w:pStyle w:val="2"/>
        <w:ind w:firstLine="560"/>
        <w:rPr>
          <w:highlight w:val="none"/>
        </w:rPr>
      </w:pPr>
    </w:p>
    <w:p w14:paraId="588B873E">
      <w:pPr>
        <w:pStyle w:val="2"/>
        <w:ind w:firstLine="560"/>
        <w:rPr>
          <w:highlight w:val="none"/>
        </w:rPr>
      </w:pPr>
    </w:p>
    <w:p w14:paraId="79D945EB">
      <w:pPr>
        <w:pStyle w:val="2"/>
        <w:ind w:firstLine="560"/>
        <w:rPr>
          <w:highlight w:val="none"/>
        </w:rPr>
      </w:pPr>
    </w:p>
    <w:p w14:paraId="554923E8">
      <w:pPr>
        <w:pStyle w:val="2"/>
        <w:ind w:firstLine="560"/>
        <w:rPr>
          <w:highlight w:val="none"/>
        </w:rPr>
      </w:pPr>
    </w:p>
    <w:p w14:paraId="25411955">
      <w:pPr>
        <w:pStyle w:val="2"/>
        <w:ind w:firstLine="560"/>
        <w:rPr>
          <w:highlight w:val="none"/>
        </w:rPr>
      </w:pPr>
    </w:p>
    <w:p w14:paraId="71A3A2B1">
      <w:pPr>
        <w:pStyle w:val="2"/>
        <w:ind w:firstLine="560"/>
        <w:rPr>
          <w:highlight w:val="none"/>
        </w:rPr>
      </w:pPr>
    </w:p>
    <w:p w14:paraId="6B542DCB">
      <w:pPr>
        <w:pStyle w:val="2"/>
        <w:ind w:firstLine="560"/>
        <w:rPr>
          <w:highlight w:val="none"/>
        </w:rPr>
      </w:pPr>
    </w:p>
    <w:p w14:paraId="002380FB">
      <w:pPr>
        <w:pStyle w:val="2"/>
        <w:ind w:firstLine="560"/>
        <w:rPr>
          <w:highlight w:val="none"/>
        </w:rPr>
      </w:pPr>
    </w:p>
    <w:p w14:paraId="56BB9967">
      <w:pPr>
        <w:pStyle w:val="2"/>
        <w:ind w:firstLine="560"/>
        <w:rPr>
          <w:highlight w:val="none"/>
        </w:rPr>
      </w:pPr>
    </w:p>
    <w:p w14:paraId="2D4D15E9">
      <w:pPr>
        <w:spacing w:line="360" w:lineRule="auto"/>
        <w:jc w:val="center"/>
        <w:rPr>
          <w:rFonts w:ascii="微软雅黑" w:eastAsia="微软雅黑" w:hAnsiTheme="minorHAnsi"/>
          <w:sz w:val="44"/>
          <w:szCs w:val="44"/>
          <w:highlight w:val="none"/>
        </w:rPr>
      </w:pPr>
    </w:p>
    <w:p w14:paraId="0F2BD67A">
      <w:pPr>
        <w:spacing w:line="360" w:lineRule="auto"/>
        <w:jc w:val="center"/>
        <w:outlineLvl w:val="9"/>
        <w:rPr>
          <w:rFonts w:ascii="微软雅黑" w:eastAsia="微软雅黑"/>
          <w:bCs/>
          <w:sz w:val="44"/>
          <w:szCs w:val="44"/>
          <w:highlight w:val="none"/>
        </w:rPr>
      </w:pPr>
      <w:bookmarkStart w:id="53" w:name="_Toc22669"/>
      <w:r>
        <w:rPr>
          <w:rFonts w:hint="eastAsia" w:ascii="微软雅黑" w:eastAsia="微软雅黑" w:hAnsiTheme="minorHAnsi"/>
          <w:sz w:val="44"/>
          <w:szCs w:val="44"/>
          <w:highlight w:val="none"/>
        </w:rPr>
        <w:t>廉洁协议</w:t>
      </w:r>
      <w:bookmarkEnd w:id="53"/>
    </w:p>
    <w:p w14:paraId="26282E8F">
      <w:pPr>
        <w:spacing w:line="360" w:lineRule="auto"/>
        <w:ind w:firstLine="562" w:firstLineChars="200"/>
        <w:outlineLvl w:val="9"/>
        <w:rPr>
          <w:rFonts w:ascii="仿宋_GB2312" w:hAnsi="仿宋_GB2312" w:eastAsia="仿宋_GB2312" w:cs="仿宋_GB2312"/>
          <w:b/>
          <w:bCs/>
          <w:sz w:val="28"/>
          <w:szCs w:val="28"/>
          <w:highlight w:val="none"/>
          <w:u w:val="single"/>
        </w:rPr>
      </w:pPr>
      <w:bookmarkStart w:id="54" w:name="_Toc24495"/>
      <w:r>
        <w:rPr>
          <w:rFonts w:hint="eastAsia" w:ascii="仿宋_GB2312" w:hAnsi="仿宋_GB2312" w:eastAsia="仿宋_GB2312" w:cs="仿宋_GB2312"/>
          <w:b/>
          <w:bCs/>
          <w:sz w:val="28"/>
          <w:szCs w:val="28"/>
          <w:highlight w:val="none"/>
        </w:rPr>
        <w:t>买方：</w:t>
      </w:r>
      <w:r>
        <w:rPr>
          <w:rFonts w:hint="eastAsia" w:ascii="仿宋_GB2312" w:hAnsi="仿宋_GB2312" w:eastAsia="仿宋_GB2312" w:cs="仿宋_GB2312"/>
          <w:b/>
          <w:bCs/>
          <w:sz w:val="28"/>
          <w:szCs w:val="28"/>
          <w:highlight w:val="none"/>
          <w:u w:val="single"/>
        </w:rPr>
        <w:t>内蒙古智慧运维新能源有限公司</w:t>
      </w:r>
      <w:bookmarkEnd w:id="54"/>
    </w:p>
    <w:p w14:paraId="716EA83E">
      <w:pPr>
        <w:spacing w:line="360" w:lineRule="auto"/>
        <w:ind w:firstLine="562" w:firstLineChars="200"/>
        <w:outlineLvl w:val="9"/>
        <w:rPr>
          <w:rFonts w:ascii="仿宋_GB2312" w:hAnsi="仿宋_GB2312" w:eastAsia="仿宋_GB2312" w:cs="仿宋_GB2312"/>
          <w:b/>
          <w:bCs/>
          <w:sz w:val="28"/>
          <w:szCs w:val="28"/>
          <w:highlight w:val="none"/>
        </w:rPr>
      </w:pPr>
      <w:bookmarkStart w:id="55" w:name="_Toc26443"/>
      <w:r>
        <w:rPr>
          <w:rFonts w:hint="eastAsia" w:ascii="仿宋_GB2312" w:hAnsi="仿宋_GB2312" w:eastAsia="仿宋_GB2312" w:cs="仿宋_GB2312"/>
          <w:b/>
          <w:bCs/>
          <w:sz w:val="28"/>
          <w:szCs w:val="28"/>
          <w:highlight w:val="none"/>
        </w:rPr>
        <w:t>卖方：</w:t>
      </w:r>
      <w:bookmarkEnd w:id="55"/>
      <w:r>
        <w:rPr>
          <w:rFonts w:hint="eastAsia" w:ascii="仿宋_GB2312" w:hAnsi="仿宋_GB2312" w:eastAsia="仿宋_GB2312" w:cs="仿宋_GB2312"/>
          <w:b/>
          <w:bCs/>
          <w:sz w:val="28"/>
          <w:szCs w:val="28"/>
          <w:highlight w:val="none"/>
          <w:u w:val="single"/>
        </w:rPr>
        <w:t xml:space="preserve">                            </w:t>
      </w:r>
    </w:p>
    <w:p w14:paraId="718A33FD">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为了防范和控制《*******》合同（合同编号：</w:t>
      </w:r>
      <w:r>
        <w:rPr>
          <w:rFonts w:hint="eastAsia" w:ascii="仿宋_GB2312" w:hAnsi="仿宋_GB2312" w:eastAsia="仿宋_GB2312" w:cs="仿宋_GB2312"/>
          <w:sz w:val="28"/>
          <w:szCs w:val="28"/>
          <w:highlight w:val="none"/>
          <w:u w:val="single"/>
        </w:rPr>
        <w:t>*******</w:t>
      </w:r>
      <w:r>
        <w:rPr>
          <w:rFonts w:hint="eastAsia" w:ascii="仿宋_GB2312" w:hAnsi="仿宋_GB2312" w:eastAsia="仿宋_GB2312" w:cs="仿宋_GB2312"/>
          <w:sz w:val="28"/>
          <w:szCs w:val="28"/>
          <w:highlight w:val="none"/>
        </w:rPr>
        <w:t>）商订及履行过程中的廉洁风险，维护正常的市场秩序和双方的合法权益，根据反腐倡廉相关规定，经双方商议，特签订本协议。</w:t>
      </w:r>
    </w:p>
    <w:p w14:paraId="38ADE280">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1  双方应当遵循的责任</w:t>
      </w:r>
    </w:p>
    <w:p w14:paraId="5B8116CF">
      <w:pPr>
        <w:spacing w:line="360" w:lineRule="auto"/>
        <w:ind w:firstLine="560" w:firstLineChars="200"/>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1.1 严格遵守国家的法律法规和廉洁从业有关规定。</w:t>
      </w:r>
    </w:p>
    <w:p w14:paraId="32DFE0CA">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1.2坚持公开、公正、诚信、透明的原则（国家秘密、商业秘密和合同文件另有规定的除外），不得损害国家、集体和双方的正当利益。</w:t>
      </w:r>
    </w:p>
    <w:p w14:paraId="76EDF7FD">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1.3 定期开展党风廉政宣传教育活动，提高从业人员的廉洁意识。</w:t>
      </w:r>
    </w:p>
    <w:p w14:paraId="5CE79DB7">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1.4 规范招标及采购管理，加强廉洁风险防范。</w:t>
      </w:r>
    </w:p>
    <w:p w14:paraId="6CF7793B">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1.5 开展多种形式的监督检查。</w:t>
      </w:r>
    </w:p>
    <w:p w14:paraId="038525BA">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1.6 发生涉及本项目的不廉洁问题，及时按规定向双方纪检监察部门或司法机关举报或通报，并积极配合查处。</w:t>
      </w:r>
    </w:p>
    <w:p w14:paraId="7337375B">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2  买方人员义务</w:t>
      </w:r>
    </w:p>
    <w:p w14:paraId="190BBE92">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2.1不得索取或接受卖方提供的利益和方便。</w:t>
      </w:r>
    </w:p>
    <w:p w14:paraId="2F9E275A">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2.1.1不得索取或接受卖方的礼品、礼金、有价证券、支付凭证和商业预付卡等（以下简称礼品礼金）；</w:t>
      </w:r>
    </w:p>
    <w:p w14:paraId="2DB5CA28">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2.1.2不得参加卖方安排的宴请和娱乐活动；不得接受卖方提供的通讯工具、交通工具及其他服务；</w:t>
      </w:r>
    </w:p>
    <w:p w14:paraId="4EBEC00B">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2.1.</w:t>
      </w:r>
      <w:r>
        <w:rPr>
          <w:rFonts w:hint="eastAsia" w:ascii="仿宋_GB2312" w:hAnsi="仿宋_GB2312" w:eastAsia="仿宋_GB2312" w:cs="仿宋_GB2312"/>
          <w:sz w:val="28"/>
          <w:szCs w:val="28"/>
          <w:highlight w:val="none"/>
          <w:lang w:val="en-US" w:eastAsia="zh-CN"/>
        </w:rPr>
        <w:t>3</w:t>
      </w:r>
      <w:r>
        <w:rPr>
          <w:rFonts w:hint="eastAsia" w:ascii="仿宋_GB2312" w:hAnsi="仿宋_GB2312" w:eastAsia="仿宋_GB2312" w:cs="仿宋_GB2312"/>
          <w:sz w:val="28"/>
          <w:szCs w:val="28"/>
          <w:highlight w:val="none"/>
        </w:rPr>
        <w:t>不得在个人住房装修、婚丧嫁娶、配偶、子女和其他亲属就业、旅游等事宜中索取或接受卖方提供的利益和便利；不得在卖方报销任何应由买方负担或支付的费用；</w:t>
      </w:r>
    </w:p>
    <w:p w14:paraId="1E88A92E">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2.2不得利用职权从事各种有偿中介活动，不得营私舞弊。</w:t>
      </w:r>
    </w:p>
    <w:p w14:paraId="089309B8">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2.3买方人员的配偶、子女、近亲属不得从事与买方项目有关的物资供应、劳务等经济活动。</w:t>
      </w:r>
    </w:p>
    <w:p w14:paraId="53400C07">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2.4不得违反规定向卖方推荐第三方委托商或供应商。</w:t>
      </w:r>
    </w:p>
    <w:p w14:paraId="73DCBE80">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2.5不得有其他不廉洁行为。</w:t>
      </w:r>
    </w:p>
    <w:p w14:paraId="72888B92">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3  卖方人员义务</w:t>
      </w:r>
    </w:p>
    <w:p w14:paraId="70B053FC">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3.1 不得以任何形式向买方及相关人员输送利益和方便。</w:t>
      </w:r>
    </w:p>
    <w:p w14:paraId="5C4FC449">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3.1.1不得向买方及相关人员行贿或馈赠礼品礼金；</w:t>
      </w:r>
    </w:p>
    <w:p w14:paraId="30F3051C">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3.1.2不得向买方及相关人员提供宴请和娱乐活动；不得为其购置或提供通讯工具、交通工具及其他服务；</w:t>
      </w:r>
    </w:p>
    <w:p w14:paraId="341E7A35">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3.1.3不得为买方及相关人员在住房装修、婚丧嫁娶、配偶、子女和其他亲属就业、旅游等事宜中提供利益和便利；不得以任何名义报销应由买方及相关人员负担或支付的费用。</w:t>
      </w:r>
    </w:p>
    <w:p w14:paraId="2B0603AF">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3.2不得有其他不廉洁行为。</w:t>
      </w:r>
    </w:p>
    <w:p w14:paraId="1C78130B">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3.3积极支持配合买方调查问题，不得隐瞒、袒护买方及相关人员的不廉洁问题。</w:t>
      </w:r>
    </w:p>
    <w:p w14:paraId="67F19D7F">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4  责任追究</w:t>
      </w:r>
    </w:p>
    <w:p w14:paraId="7B91F92F">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4.1 按照国家、上级机关和买卖双方的有关制度和规定，以买方为主、卖方配合，追究涉及本项目的不廉洁问题。</w:t>
      </w:r>
    </w:p>
    <w:p w14:paraId="3ADF5BFA">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4.2建立廉洁违约罚金制度。廉洁违约罚金的额度为合同总额的1%（不超过50万元）。如违反本协议，根据情节、损失和后果按以下规定在合同支付款中进行扣减。</w:t>
      </w:r>
    </w:p>
    <w:p w14:paraId="4C526E2D">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4.2.1造成直接损失或不良后果，情节较轻的，扣除10%-40%廉洁违约罚金；</w:t>
      </w:r>
    </w:p>
    <w:p w14:paraId="33411209">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4.2.2情节较重的，扣除50%廉洁违约罚金；</w:t>
      </w:r>
    </w:p>
    <w:p w14:paraId="236700EF">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4.2.3情节严重的，扣除100%廉洁违约罚金。</w:t>
      </w:r>
    </w:p>
    <w:p w14:paraId="3A37D214">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4.3廉洁违约罚金的扣减：由合同管理单位根据纪检监察部门的处罚意见，与合同进度款的结算同步进行。</w:t>
      </w:r>
    </w:p>
    <w:p w14:paraId="624E61CC">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4.4对积极配合买方调查，并确有立功表现或从轻、减轻违纪违规情节的，可根据相关规定履行审批手续后酌情减免处罚。</w:t>
      </w:r>
    </w:p>
    <w:p w14:paraId="13C5DF17">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4.5上述处罚的同时，买方可按照能源集团有关规定另行给予卖方暂停合同履行、降低信用评级、禁止参加买方其他项目等处理。</w:t>
      </w:r>
    </w:p>
    <w:p w14:paraId="0B86B2A6">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4.6买方违反本协议，影响卖方履行合同并造成损失的，买方应承担赔偿责任。</w:t>
      </w:r>
    </w:p>
    <w:p w14:paraId="260B892A">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5  监督执行</w:t>
      </w:r>
    </w:p>
    <w:p w14:paraId="7B5689FE">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5.1本协议作为项目合同的附件，由买卖双方纪检监察部门联合监督执行。</w:t>
      </w:r>
    </w:p>
    <w:p w14:paraId="63743DB4">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5.2买方举报电话：</w:t>
      </w:r>
      <w:r>
        <w:rPr>
          <w:rFonts w:hint="eastAsia" w:ascii="仿宋_GB2312" w:hAnsi="仿宋_GB2312" w:eastAsia="仿宋_GB2312" w:cs="仿宋_GB2312"/>
          <w:sz w:val="28"/>
          <w:szCs w:val="28"/>
          <w:highlight w:val="none"/>
          <w:u w:val="single"/>
        </w:rPr>
        <w:t>0471-6209021</w:t>
      </w:r>
      <w:r>
        <w:rPr>
          <w:rFonts w:hint="eastAsia" w:ascii="仿宋_GB2312" w:hAnsi="仿宋_GB2312" w:eastAsia="仿宋_GB2312" w:cs="仿宋_GB2312"/>
          <w:sz w:val="28"/>
          <w:szCs w:val="28"/>
          <w:highlight w:val="none"/>
        </w:rPr>
        <w:t>；卖方举报电话：</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w:t>
      </w:r>
    </w:p>
    <w:p w14:paraId="577B9F15">
      <w:pPr>
        <w:pStyle w:val="7"/>
        <w:spacing w:before="142"/>
        <w:ind w:firstLine="560" w:firstLineChars="200"/>
        <w:contextualSpacing/>
        <w:rPr>
          <w:rFonts w:ascii="黑体" w:hAnsi="黑体" w:eastAsia="黑体" w:cs="黑体"/>
          <w:sz w:val="28"/>
          <w:szCs w:val="28"/>
          <w:highlight w:val="none"/>
        </w:rPr>
      </w:pPr>
      <w:r>
        <w:rPr>
          <w:rFonts w:hint="eastAsia" w:ascii="黑体" w:hAnsi="黑体" w:eastAsia="黑体" w:cs="黑体"/>
          <w:sz w:val="28"/>
          <w:szCs w:val="28"/>
          <w:highlight w:val="none"/>
        </w:rPr>
        <w:t>6  其他</w:t>
      </w:r>
    </w:p>
    <w:p w14:paraId="56121785">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6.1因执行本协议所发生的有关争议，适用主合同争议解决条款。</w:t>
      </w:r>
    </w:p>
    <w:p w14:paraId="3E944077">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6.2本协议作为《</w:t>
      </w:r>
      <w:r>
        <w:rPr>
          <w:rFonts w:hint="eastAsia" w:ascii="仿宋_GB2312" w:hAnsi="仿宋_GB2312" w:eastAsia="仿宋_GB2312" w:cs="仿宋_GB2312"/>
          <w:sz w:val="28"/>
          <w:szCs w:val="28"/>
          <w:highlight w:val="none"/>
          <w:lang w:val="en-US" w:eastAsia="zh-CN"/>
        </w:rPr>
        <w:t>******</w:t>
      </w:r>
      <w:r>
        <w:rPr>
          <w:rFonts w:hint="eastAsia" w:ascii="仿宋_GB2312" w:hAnsi="仿宋_GB2312" w:eastAsia="仿宋_GB2312" w:cs="仿宋_GB2312"/>
          <w:sz w:val="28"/>
          <w:szCs w:val="28"/>
          <w:highlight w:val="none"/>
        </w:rPr>
        <w:t>》合同的附件。</w:t>
      </w:r>
    </w:p>
    <w:p w14:paraId="11F73AD8">
      <w:pPr>
        <w:spacing w:line="360" w:lineRule="auto"/>
        <w:ind w:firstLine="560" w:firstLineChars="200"/>
        <w:textAlignment w:val="baseline"/>
        <w:rPr>
          <w:rFonts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6.3双方法定代表人或其委托代理人在此签字并</w:t>
      </w:r>
      <w:bookmarkStart w:id="56" w:name="OLE_LINK6"/>
      <w:r>
        <w:rPr>
          <w:rFonts w:hint="eastAsia" w:ascii="仿宋_GB2312" w:hAnsi="仿宋_GB2312" w:eastAsia="仿宋_GB2312" w:cs="仿宋_GB2312"/>
          <w:sz w:val="28"/>
          <w:szCs w:val="28"/>
          <w:highlight w:val="none"/>
        </w:rPr>
        <w:t>加盖</w:t>
      </w:r>
      <w:bookmarkStart w:id="57" w:name="OLE_LINK8"/>
      <w:r>
        <w:rPr>
          <w:rFonts w:hint="eastAsia" w:ascii="仿宋_GB2312" w:hAnsi="仿宋_GB2312" w:eastAsia="仿宋_GB2312" w:cs="仿宋_GB2312"/>
          <w:sz w:val="28"/>
          <w:szCs w:val="28"/>
          <w:highlight w:val="none"/>
        </w:rPr>
        <w:t>公章或合同专用章</w:t>
      </w:r>
      <w:bookmarkEnd w:id="56"/>
      <w:bookmarkEnd w:id="57"/>
      <w:r>
        <w:rPr>
          <w:rFonts w:hint="eastAsia" w:ascii="仿宋_GB2312" w:hAnsi="仿宋_GB2312" w:eastAsia="仿宋_GB2312" w:cs="仿宋_GB2312"/>
          <w:sz w:val="28"/>
          <w:szCs w:val="28"/>
          <w:highlight w:val="none"/>
        </w:rPr>
        <w:t>，签字并盖章之日起本协议生效。</w:t>
      </w:r>
    </w:p>
    <w:p w14:paraId="38C05206">
      <w:pPr>
        <w:spacing w:line="360" w:lineRule="auto"/>
        <w:ind w:firstLine="560" w:firstLineChars="200"/>
        <w:textAlignment w:val="baseline"/>
        <w:rPr>
          <w:rFonts w:ascii="仿宋_GB2312" w:hAnsi="仿宋_GB2312" w:eastAsia="仿宋_GB2312" w:cs="仿宋_GB2312"/>
          <w:sz w:val="28"/>
          <w:szCs w:val="28"/>
          <w:highlight w:val="none"/>
        </w:rPr>
      </w:pPr>
    </w:p>
    <w:p w14:paraId="34CFCCEA">
      <w:pPr>
        <w:spacing w:line="360" w:lineRule="auto"/>
        <w:ind w:firstLine="560" w:firstLineChars="200"/>
        <w:textAlignment w:val="baseline"/>
        <w:rPr>
          <w:rFonts w:ascii="仿宋_GB2312" w:hAnsi="仿宋_GB2312" w:eastAsia="仿宋_GB2312" w:cs="仿宋_GB2312"/>
          <w:sz w:val="28"/>
          <w:szCs w:val="28"/>
          <w:highlight w:val="none"/>
        </w:rPr>
      </w:pPr>
    </w:p>
    <w:p w14:paraId="30CFFF5D">
      <w:pPr>
        <w:jc w:val="left"/>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买方：内蒙古智慧运维新能源有限公司(</w:t>
      </w:r>
      <w:r>
        <w:rPr>
          <w:rFonts w:hint="eastAsia" w:ascii="仿宋_GB2312" w:hAnsi="仿宋_GB2312" w:eastAsia="仿宋_GB2312" w:cs="仿宋_GB2312"/>
          <w:sz w:val="28"/>
          <w:szCs w:val="28"/>
          <w:highlight w:val="none"/>
          <w:lang w:val="en-US" w:eastAsia="zh-CN"/>
        </w:rPr>
        <w:t>盖</w:t>
      </w:r>
      <w:r>
        <w:rPr>
          <w:rFonts w:hint="eastAsia" w:ascii="仿宋_GB2312" w:hAnsi="仿宋_GB2312" w:eastAsia="仿宋_GB2312" w:cs="仿宋_GB2312"/>
          <w:sz w:val="28"/>
          <w:szCs w:val="28"/>
          <w:highlight w:val="none"/>
        </w:rPr>
        <w:t>章)</w:t>
      </w:r>
    </w:p>
    <w:p w14:paraId="3FA210FF">
      <w:pPr>
        <w:jc w:val="left"/>
        <w:rPr>
          <w:rFonts w:hint="eastAsia" w:ascii="仿宋_GB2312" w:hAnsi="仿宋_GB2312" w:eastAsia="仿宋_GB2312" w:cs="仿宋_GB2312"/>
          <w:sz w:val="28"/>
          <w:szCs w:val="28"/>
          <w:highlight w:val="none"/>
        </w:rPr>
      </w:pPr>
    </w:p>
    <w:p w14:paraId="4990E9E7">
      <w:pPr>
        <w:jc w:val="left"/>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 xml:space="preserve">法定代表人(或其委托代理人)：                 </w:t>
      </w:r>
      <w:r>
        <w:rPr>
          <w:rFonts w:ascii="仿宋_GB2312" w:hAnsi="仿宋_GB2312" w:eastAsia="仿宋_GB2312" w:cs="仿宋_GB2312"/>
          <w:sz w:val="28"/>
          <w:szCs w:val="28"/>
          <w:highlight w:val="none"/>
        </w:rPr>
        <w:t xml:space="preserve">   </w:t>
      </w:r>
      <w:r>
        <w:rPr>
          <w:rFonts w:hint="eastAsia" w:ascii="仿宋_GB2312" w:hAnsi="仿宋_GB2312" w:eastAsia="仿宋_GB2312" w:cs="仿宋_GB2312"/>
          <w:sz w:val="28"/>
          <w:szCs w:val="28"/>
          <w:highlight w:val="none"/>
        </w:rPr>
        <w:t xml:space="preserve"> </w:t>
      </w:r>
    </w:p>
    <w:p w14:paraId="47F43F65">
      <w:pPr>
        <w:spacing w:line="360" w:lineRule="auto"/>
        <w:ind w:firstLine="0" w:firstLineChars="0"/>
        <w:jc w:val="left"/>
        <w:textAlignment w:val="baseline"/>
        <w:rPr>
          <w:rFonts w:hint="eastAsia" w:ascii="仿宋_GB2312" w:hAnsi="仿宋_GB2312" w:eastAsia="仿宋_GB2312" w:cs="仿宋_GB2312"/>
          <w:sz w:val="28"/>
          <w:szCs w:val="28"/>
          <w:highlight w:val="none"/>
        </w:rPr>
      </w:pPr>
    </w:p>
    <w:p w14:paraId="0B152981">
      <w:pPr>
        <w:spacing w:line="360" w:lineRule="auto"/>
        <w:ind w:firstLine="0" w:firstLineChars="0"/>
        <w:jc w:val="left"/>
        <w:textAlignment w:val="baseline"/>
        <w:rPr>
          <w:rFonts w:hint="eastAsia" w:ascii="仿宋_GB2312" w:hAnsi="仿宋_GB2312" w:eastAsia="仿宋_GB2312" w:cs="仿宋_GB2312"/>
          <w:sz w:val="28"/>
          <w:szCs w:val="28"/>
          <w:highlight w:val="none"/>
        </w:rPr>
      </w:pPr>
    </w:p>
    <w:p w14:paraId="0AA484CD">
      <w:pPr>
        <w:spacing w:line="360" w:lineRule="auto"/>
        <w:ind w:firstLine="0" w:firstLineChars="0"/>
        <w:jc w:val="left"/>
        <w:textAlignment w:val="baseline"/>
        <w:rPr>
          <w:rFonts w:hint="eastAsia" w:ascii="仿宋" w:hAnsi="仿宋" w:eastAsia="仿宋" w:cs="仿宋"/>
          <w:b w:val="0"/>
          <w:bCs/>
          <w:sz w:val="28"/>
          <w:szCs w:val="28"/>
          <w:highlight w:val="none"/>
        </w:rPr>
      </w:pPr>
      <w:r>
        <w:rPr>
          <w:rFonts w:hint="eastAsia" w:ascii="仿宋_GB2312" w:hAnsi="仿宋_GB2312" w:eastAsia="仿宋_GB2312" w:cs="仿宋_GB2312"/>
          <w:sz w:val="28"/>
          <w:szCs w:val="28"/>
          <w:highlight w:val="none"/>
        </w:rPr>
        <w:t>卖方：</w:t>
      </w: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28"/>
          <w:szCs w:val="28"/>
          <w:highlight w:val="none"/>
        </w:rPr>
        <w:t>(</w:t>
      </w:r>
      <w:r>
        <w:rPr>
          <w:rFonts w:hint="eastAsia" w:ascii="仿宋_GB2312" w:hAnsi="仿宋_GB2312" w:eastAsia="仿宋_GB2312" w:cs="仿宋_GB2312"/>
          <w:sz w:val="28"/>
          <w:szCs w:val="28"/>
          <w:highlight w:val="none"/>
          <w:lang w:val="en-US" w:eastAsia="zh-CN"/>
        </w:rPr>
        <w:t>盖</w:t>
      </w:r>
      <w:r>
        <w:rPr>
          <w:rFonts w:hint="eastAsia" w:ascii="仿宋_GB2312" w:hAnsi="仿宋_GB2312" w:eastAsia="仿宋_GB2312" w:cs="仿宋_GB2312"/>
          <w:sz w:val="28"/>
          <w:szCs w:val="28"/>
          <w:highlight w:val="none"/>
        </w:rPr>
        <w:t>章)</w:t>
      </w:r>
    </w:p>
    <w:p w14:paraId="3E4FDAB0">
      <w:pPr>
        <w:spacing w:line="360" w:lineRule="auto"/>
        <w:ind w:firstLine="560" w:firstLineChars="200"/>
        <w:jc w:val="left"/>
        <w:textAlignment w:val="baseline"/>
        <w:rPr>
          <w:rFonts w:hint="eastAsia" w:ascii="仿宋_GB2312" w:hAnsi="仿宋_GB2312" w:eastAsia="仿宋_GB2312" w:cs="仿宋_GB2312"/>
          <w:sz w:val="28"/>
          <w:szCs w:val="28"/>
          <w:highlight w:val="none"/>
        </w:rPr>
      </w:pPr>
    </w:p>
    <w:p w14:paraId="6B7FA47A">
      <w:pPr>
        <w:rPr>
          <w:highlight w:val="none"/>
        </w:rPr>
      </w:pPr>
      <w:r>
        <w:rPr>
          <w:rFonts w:hint="eastAsia" w:ascii="仿宋_GB2312" w:hAnsi="仿宋_GB2312" w:eastAsia="仿宋_GB2312" w:cs="仿宋_GB2312"/>
          <w:sz w:val="28"/>
          <w:szCs w:val="28"/>
          <w:highlight w:val="none"/>
        </w:rPr>
        <w:t xml:space="preserve">法定代表人(或其委托代理人)：  </w:t>
      </w: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28"/>
          <w:szCs w:val="28"/>
          <w:highlight w:val="none"/>
        </w:rPr>
        <w:t xml:space="preserve">  </w:t>
      </w:r>
    </w:p>
    <w:p w14:paraId="03BCD5DD">
      <w:pPr>
        <w:rPr>
          <w:highlight w:val="none"/>
        </w:rPr>
      </w:pPr>
    </w:p>
    <w:p w14:paraId="5298E526"/>
    <w:p w14:paraId="0AB3D386"/>
    <w:p w14:paraId="1C97C0ED"/>
    <w:sectPr>
      <w:pgSz w:w="11906" w:h="16838"/>
      <w:pgMar w:top="1440" w:right="1803" w:bottom="1440" w:left="1803"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B40991F-BFCB-4E75-AAD4-C46C5F991556}"/>
  </w:font>
  <w:font w:name="黑体">
    <w:panose1 w:val="02010609060101010101"/>
    <w:charset w:val="86"/>
    <w:family w:val="auto"/>
    <w:pitch w:val="default"/>
    <w:sig w:usb0="800002BF" w:usb1="38CF7CFA" w:usb2="00000016" w:usb3="00000000" w:csb0="00040001" w:csb1="00000000"/>
    <w:embedRegular r:id="rId2" w:fontKey="{F450CC7D-4627-4D00-B7B1-184A80CB960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90AA6275-3061-48DF-889D-9CCB87D5558E}"/>
  </w:font>
  <w:font w:name="方正仿宋_GBK">
    <w:panose1 w:val="02000000000000000000"/>
    <w:charset w:val="86"/>
    <w:family w:val="script"/>
    <w:pitch w:val="default"/>
    <w:sig w:usb0="A00002BF" w:usb1="38CF7CFA" w:usb2="00082016" w:usb3="00000000" w:csb0="00040001" w:csb1="00000000"/>
    <w:embedRegular r:id="rId4" w:fontKey="{98A769AA-8F90-4C44-89C7-6BCE4048352A}"/>
  </w:font>
  <w:font w:name="仿宋">
    <w:panose1 w:val="02010609060101010101"/>
    <w:charset w:val="86"/>
    <w:family w:val="modern"/>
    <w:pitch w:val="default"/>
    <w:sig w:usb0="800002BF" w:usb1="38CF7CFA" w:usb2="00000016" w:usb3="00000000" w:csb0="00040001" w:csb1="00000000"/>
    <w:embedRegular r:id="rId5" w:fontKey="{F669A490-4F4D-4650-91B6-BA7860165ACD}"/>
  </w:font>
  <w:font w:name="仿宋_GB2312">
    <w:panose1 w:val="02010609030101010101"/>
    <w:charset w:val="86"/>
    <w:family w:val="modern"/>
    <w:pitch w:val="default"/>
    <w:sig w:usb0="00000001" w:usb1="080E0000" w:usb2="00000000" w:usb3="00000000" w:csb0="00040000" w:csb1="00000000"/>
    <w:embedRegular r:id="rId6" w:fontKey="{00C12C57-F6F1-4515-90A8-F89EC9CF9D0F}"/>
  </w:font>
  <w:font w:name="华文中宋">
    <w:panose1 w:val="02010600040101010101"/>
    <w:charset w:val="86"/>
    <w:family w:val="auto"/>
    <w:pitch w:val="default"/>
    <w:sig w:usb0="00000287" w:usb1="080F0000" w:usb2="00000000" w:usb3="00000000" w:csb0="0004009F" w:csb1="DFD70000"/>
    <w:embedRegular r:id="rId7" w:fontKey="{CD1744F8-68EF-4DFE-979D-BC77A3735804}"/>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embedRegular r:id="rId8" w:fontKey="{70C9E169-9CE0-4A52-80BE-B9A4AF13653C}"/>
  </w:font>
  <w:font w:name="微软雅黑">
    <w:panose1 w:val="020B0503020204020204"/>
    <w:charset w:val="86"/>
    <w:family w:val="auto"/>
    <w:pitch w:val="default"/>
    <w:sig w:usb0="80000287" w:usb1="2ACF3C50" w:usb2="00000016" w:usb3="00000000" w:csb0="0004001F" w:csb1="00000000"/>
    <w:embedRegular r:id="rId9" w:fontKey="{041FA533-B1AE-4134-8AC4-484306638B9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99B4A">
    <w:pPr>
      <w:pStyle w:val="8"/>
      <w:jc w:val="center"/>
      <w:rPr>
        <w:rFonts w:hint="eastAsia" w:ascii="方正仿宋_GBK" w:eastAsia="方正仿宋_GBK"/>
        <w:sz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D43657">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5D43657">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0D7D0">
    <w:pPr>
      <w:pStyle w:val="9"/>
      <w:pBdr>
        <w:bottom w:val="none" w:color="auto" w:sz="0" w:space="14"/>
      </w:pBdr>
      <w:ind w:right="11"/>
      <w:jc w:val="right"/>
      <w:rPr>
        <w:rFonts w:hint="eastAsia" w:ascii="宋体" w:hAnsi="宋体"/>
        <w:sz w:val="21"/>
        <w:szCs w:val="21"/>
      </w:rPr>
    </w:pPr>
    <w:bookmarkStart w:id="58" w:name="code2"/>
    <w:bookmarkEnd w:id="58"/>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BE0917"/>
    <w:multiLevelType w:val="singleLevel"/>
    <w:tmpl w:val="F6BE0917"/>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2C632F"/>
    <w:rsid w:val="04AC2FBA"/>
    <w:rsid w:val="07CC39E2"/>
    <w:rsid w:val="0B336D36"/>
    <w:rsid w:val="0C042084"/>
    <w:rsid w:val="0CEA5470"/>
    <w:rsid w:val="13272ABF"/>
    <w:rsid w:val="16506BFC"/>
    <w:rsid w:val="19441605"/>
    <w:rsid w:val="199411EA"/>
    <w:rsid w:val="211A3027"/>
    <w:rsid w:val="252B1993"/>
    <w:rsid w:val="25F15D85"/>
    <w:rsid w:val="28AB0A4C"/>
    <w:rsid w:val="29844C9A"/>
    <w:rsid w:val="2A4A15E2"/>
    <w:rsid w:val="2EA17C2D"/>
    <w:rsid w:val="30172A97"/>
    <w:rsid w:val="331437C7"/>
    <w:rsid w:val="33884CDF"/>
    <w:rsid w:val="34C8434D"/>
    <w:rsid w:val="34CB4223"/>
    <w:rsid w:val="34E62C45"/>
    <w:rsid w:val="37003D5D"/>
    <w:rsid w:val="37557E8D"/>
    <w:rsid w:val="38DD2CB3"/>
    <w:rsid w:val="393037D5"/>
    <w:rsid w:val="471F6033"/>
    <w:rsid w:val="486416B3"/>
    <w:rsid w:val="488B498D"/>
    <w:rsid w:val="489A1152"/>
    <w:rsid w:val="48EF057B"/>
    <w:rsid w:val="49BD2383"/>
    <w:rsid w:val="4E055AE1"/>
    <w:rsid w:val="4EA60A53"/>
    <w:rsid w:val="4EDC493B"/>
    <w:rsid w:val="4F817049"/>
    <w:rsid w:val="510C514B"/>
    <w:rsid w:val="512C4324"/>
    <w:rsid w:val="53986222"/>
    <w:rsid w:val="53A616BE"/>
    <w:rsid w:val="579E50CE"/>
    <w:rsid w:val="59413C4C"/>
    <w:rsid w:val="5B565146"/>
    <w:rsid w:val="65277585"/>
    <w:rsid w:val="68032159"/>
    <w:rsid w:val="68A019E8"/>
    <w:rsid w:val="68EA5E9E"/>
    <w:rsid w:val="6DC51E19"/>
    <w:rsid w:val="6E987495"/>
    <w:rsid w:val="711C48B5"/>
    <w:rsid w:val="71C468B3"/>
    <w:rsid w:val="732A7E6C"/>
    <w:rsid w:val="742B4EF1"/>
    <w:rsid w:val="743B32AF"/>
    <w:rsid w:val="744C60F3"/>
    <w:rsid w:val="747646DB"/>
    <w:rsid w:val="7B2123FD"/>
    <w:rsid w:val="7C7D04B4"/>
    <w:rsid w:val="7CDB5C41"/>
    <w:rsid w:val="7D4619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after="330" w:afterLines="0" w:line="576" w:lineRule="auto"/>
      <w:outlineLvl w:val="0"/>
    </w:pPr>
    <w:rPr>
      <w:b/>
      <w:kern w:val="44"/>
      <w:sz w:val="44"/>
    </w:rPr>
  </w:style>
  <w:style w:type="paragraph" w:styleId="5">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line="400" w:lineRule="exact"/>
      <w:ind w:firstLine="420" w:firstLineChars="200"/>
    </w:pPr>
    <w:rPr>
      <w:rFonts w:ascii="Calibri" w:hAnsi="Calibri"/>
      <w:sz w:val="28"/>
    </w:rPr>
  </w:style>
  <w:style w:type="paragraph" w:styleId="3">
    <w:name w:val="Body Text Indent"/>
    <w:basedOn w:val="1"/>
    <w:unhideWhenUsed/>
    <w:qFormat/>
    <w:uiPriority w:val="99"/>
    <w:pPr>
      <w:spacing w:after="120"/>
      <w:ind w:left="420" w:leftChars="200"/>
    </w:pPr>
  </w:style>
  <w:style w:type="paragraph" w:styleId="6">
    <w:name w:val="annotation text"/>
    <w:basedOn w:val="1"/>
    <w:qFormat/>
    <w:uiPriority w:val="0"/>
    <w:pPr>
      <w:jc w:val="left"/>
    </w:pPr>
  </w:style>
  <w:style w:type="paragraph" w:styleId="7">
    <w:name w:val="Body Text"/>
    <w:basedOn w:val="1"/>
    <w:next w:val="1"/>
    <w:unhideWhenUsed/>
    <w:qFormat/>
    <w:uiPriority w:val="0"/>
    <w:pPr>
      <w:spacing w:after="12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39"/>
  </w:style>
  <w:style w:type="paragraph" w:styleId="11">
    <w:name w:val="toc 2"/>
    <w:basedOn w:val="1"/>
    <w:next w:val="1"/>
    <w:qFormat/>
    <w:uiPriority w:val="0"/>
    <w:pPr>
      <w:ind w:left="420" w:leftChars="200"/>
    </w:pPr>
  </w:style>
  <w:style w:type="paragraph" w:styleId="12">
    <w:name w:val="Title"/>
    <w:basedOn w:val="4"/>
    <w:qFormat/>
    <w:uiPriority w:val="0"/>
    <w:pPr>
      <w:adjustRightInd w:val="0"/>
      <w:snapToGrid w:val="0"/>
      <w:spacing w:before="0" w:beforeLines="0" w:after="0" w:afterLines="0" w:line="240" w:lineRule="auto"/>
      <w:ind w:firstLine="200" w:firstLineChars="200"/>
      <w:jc w:val="center"/>
      <w:textAlignment w:val="baseline"/>
    </w:pPr>
    <w:rPr>
      <w:rFonts w:ascii="方正仿宋_GBK" w:hAnsi="方正仿宋_GBK" w:eastAsia="方正仿宋_GBK"/>
      <w:sz w:val="32"/>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Hyperlink"/>
    <w:qFormat/>
    <w:uiPriority w:val="99"/>
    <w:rPr>
      <w:color w:val="0000FF"/>
      <w:u w:val="single"/>
    </w:rPr>
  </w:style>
  <w:style w:type="paragraph" w:customStyle="1" w:styleId="17">
    <w:name w:val="新正文"/>
    <w:basedOn w:val="1"/>
    <w:next w:val="1"/>
    <w:qFormat/>
    <w:uiPriority w:val="0"/>
    <w:pPr>
      <w:adjustRightInd w:val="0"/>
      <w:snapToGrid w:val="0"/>
      <w:spacing w:line="440" w:lineRule="atLeast"/>
    </w:pPr>
    <w:rPr>
      <w:rFonts w:ascii="宋体" w:hAnsi="宋体"/>
      <w:snapToGrid w:val="0"/>
      <w:sz w:val="24"/>
    </w:rPr>
  </w:style>
  <w:style w:type="character" w:customStyle="1" w:styleId="18">
    <w:name w:val="font11"/>
    <w:basedOn w:val="15"/>
    <w:qFormat/>
    <w:uiPriority w:val="0"/>
    <w:rPr>
      <w:rFonts w:hint="eastAsia" w:ascii="仿宋" w:hAnsi="仿宋" w:eastAsia="仿宋" w:cs="仿宋"/>
      <w:color w:val="000000"/>
      <w:sz w:val="28"/>
      <w:szCs w:val="28"/>
      <w:u w:val="none"/>
    </w:rPr>
  </w:style>
  <w:style w:type="character" w:customStyle="1" w:styleId="19">
    <w:name w:val="font31"/>
    <w:basedOn w:val="15"/>
    <w:qFormat/>
    <w:uiPriority w:val="0"/>
    <w:rPr>
      <w:rFonts w:ascii="仿宋_GB2312" w:eastAsia="仿宋_GB2312" w:cs="仿宋_GB2312"/>
      <w:color w:val="000000"/>
      <w:sz w:val="28"/>
      <w:szCs w:val="28"/>
      <w:u w:val="none"/>
    </w:rPr>
  </w:style>
  <w:style w:type="character" w:customStyle="1" w:styleId="20">
    <w:name w:val="font21"/>
    <w:basedOn w:val="15"/>
    <w:qFormat/>
    <w:uiPriority w:val="0"/>
    <w:rPr>
      <w:rFonts w:hint="eastAsia" w:ascii="仿宋" w:hAnsi="仿宋" w:eastAsia="仿宋" w:cs="仿宋"/>
      <w:color w:val="000000"/>
      <w:sz w:val="28"/>
      <w:szCs w:val="28"/>
      <w:u w:val="none"/>
    </w:rPr>
  </w:style>
  <w:style w:type="paragraph" w:customStyle="1" w:styleId="21">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10152</Words>
  <Characters>10655</Characters>
  <Lines>0</Lines>
  <Paragraphs>0</Paragraphs>
  <TotalTime>0</TotalTime>
  <ScaleCrop>false</ScaleCrop>
  <LinksUpToDate>false</LinksUpToDate>
  <CharactersWithSpaces>11007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2024-01-03T07:06:00Z</dcterms:created>
  <dc:creator>52379</dc:creator>
  <cp:lastModifiedBy>从心</cp:lastModifiedBy>
  <dcterms:modified xsi:type="dcterms:W3CDTF">2026-07-07T01:58:10Z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1545BA5D551E40B09280ED3C8BE32CD5</vt:lpwstr>
  </property>
  <property fmtid="{D5CDD505-2E9C-101B-9397-08002B2CF9AE}" pid="4" name="KSOTemplateDocerSaveRecord">
    <vt:lpwstr>eyJoZGlkIjoiY2Y3YTk0MTNkYzVhNWUzNzJkMmFhZTRlNDAzYzljMTIiLCJ1c2VySWQiOiI0MjY4Mjg1NDgifQ==</vt:lpwstr>
  </property>
</Properties>
</file>