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sz w:val="32"/>
          <w:szCs w:val="32"/>
        </w:rPr>
      </w:pPr>
      <w:r>
        <w:rPr>
          <w:rFonts w:hint="eastAsia"/>
          <w:sz w:val="32"/>
          <w:szCs w:val="32"/>
        </w:rPr>
        <w:t>采购内容及技术要求</w:t>
      </w:r>
    </w:p>
    <w:p>
      <w:pPr>
        <w:rPr>
          <w:rFonts w:hint="default"/>
          <w:lang w:val="en-US" w:eastAsia="zh-CN"/>
        </w:rPr>
      </w:pPr>
    </w:p>
    <w:p>
      <w:pPr>
        <w:jc w:val="center"/>
      </w:pPr>
      <w:bookmarkStart w:id="57" w:name="_GoBack"/>
      <w:bookmarkEnd w:id="57"/>
      <w:r>
        <w:rPr>
          <w:rFonts w:hint="eastAsia"/>
        </w:rPr>
        <w:t>（标识“★”的条款均为实质性条款，施工单位须按照要求施工。）</w:t>
      </w:r>
    </w:p>
    <w:p>
      <w:pPr>
        <w:spacing w:line="360" w:lineRule="auto"/>
        <w:ind w:right="42" w:rightChars="20" w:firstLine="315" w:firstLineChars="150"/>
        <w:rPr>
          <w:rFonts w:hint="default" w:asciiTheme="minorEastAsia" w:hAnsiTheme="minorEastAsia" w:eastAsiaTheme="minorEastAsia"/>
          <w:b/>
          <w:bCs/>
          <w:szCs w:val="28"/>
          <w:highlight w:val="none"/>
          <w:lang w:val="en-US" w:eastAsia="zh-CN"/>
        </w:rPr>
      </w:pPr>
      <w:r>
        <w:rPr>
          <w:rFonts w:hint="eastAsia" w:asciiTheme="minorEastAsia" w:hAnsiTheme="minorEastAsia"/>
          <w:b/>
          <w:bCs/>
          <w:szCs w:val="28"/>
          <w:highlight w:val="none"/>
          <w:lang w:val="en-US" w:eastAsia="zh-CN"/>
        </w:rPr>
        <w:t>一、项目概况</w:t>
      </w:r>
    </w:p>
    <w:p>
      <w:pPr>
        <w:spacing w:line="360" w:lineRule="auto"/>
        <w:ind w:right="42" w:rightChars="20" w:firstLine="315" w:firstLineChars="150"/>
        <w:rPr>
          <w:rFonts w:hint="default" w:asciiTheme="minorEastAsia" w:hAnsiTheme="minorEastAsia"/>
          <w:szCs w:val="28"/>
          <w:highlight w:val="none"/>
          <w:lang w:val="en-US" w:eastAsia="zh-CN"/>
        </w:rPr>
      </w:pPr>
      <w:r>
        <w:rPr>
          <w:rFonts w:hint="eastAsia" w:asciiTheme="minorEastAsia" w:hAnsiTheme="minorEastAsia"/>
          <w:szCs w:val="28"/>
          <w:highlight w:val="none"/>
        </w:rPr>
        <w:t>内蒙古李家塔矿业有限公司</w:t>
      </w:r>
      <w:r>
        <w:rPr>
          <w:rFonts w:hint="eastAsia" w:asciiTheme="minorEastAsia" w:hAnsiTheme="minorEastAsia"/>
          <w:szCs w:val="28"/>
          <w:highlight w:val="none"/>
          <w:lang w:val="en-US" w:eastAsia="zh-CN"/>
        </w:rPr>
        <w:t>新建溜煤眼在2-2中煤集辅3#联巷内，上口底板标高1071m，落底在3煤带式输送机巷顶板（1031m），垂直总深度约为40m。溜煤眼上口破碎机安装、溜煤眼下口给煤机安装及给煤机平台制作。需完成溜煤眼设计及施工、给煤机采购及安装、破碎机安装等工程。</w:t>
      </w:r>
    </w:p>
    <w:p>
      <w:pPr>
        <w:spacing w:line="360" w:lineRule="auto"/>
        <w:ind w:right="42" w:rightChars="20" w:firstLine="315" w:firstLineChars="150"/>
        <w:rPr>
          <w:rFonts w:hint="default" w:asciiTheme="minorEastAsia" w:hAnsiTheme="minorEastAsia"/>
          <w:szCs w:val="28"/>
          <w:highlight w:val="none"/>
          <w:lang w:val="en-US" w:eastAsia="zh-CN"/>
        </w:rPr>
      </w:pPr>
      <w:r>
        <w:rPr>
          <w:rFonts w:hint="eastAsia" w:asciiTheme="minorEastAsia" w:hAnsiTheme="minorEastAsia"/>
          <w:szCs w:val="28"/>
          <w:highlight w:val="none"/>
          <w:lang w:val="en-US" w:eastAsia="zh-CN"/>
        </w:rPr>
        <w:t>该项目实施后2-2中煤将无需延伸主运皮带，即可解决2-2中煤中驱转载点及2-2中煤与3煤给煤机处运输卡堵和2-2中煤皮带下运撒煤问题，确保主运输系统连续性。</w:t>
      </w:r>
    </w:p>
    <w:p>
      <w:pPr>
        <w:spacing w:line="360" w:lineRule="auto"/>
        <w:ind w:right="42" w:rightChars="20" w:firstLine="315" w:firstLineChars="150"/>
        <w:rPr>
          <w:rFonts w:hint="eastAsia" w:asciiTheme="minorEastAsia" w:hAnsiTheme="minorEastAsia"/>
          <w:b/>
          <w:bCs/>
          <w:szCs w:val="28"/>
          <w:highlight w:val="none"/>
          <w:lang w:val="en-US" w:eastAsia="zh-CN"/>
        </w:rPr>
      </w:pPr>
      <w:bookmarkStart w:id="0" w:name="_Toc18292"/>
      <w:r>
        <w:rPr>
          <w:rFonts w:hint="eastAsia" w:asciiTheme="minorEastAsia" w:hAnsiTheme="minorEastAsia"/>
          <w:b/>
          <w:bCs/>
          <w:szCs w:val="28"/>
          <w:highlight w:val="none"/>
          <w:lang w:val="en-US" w:eastAsia="zh-CN"/>
        </w:rPr>
        <w:t>二、主要工程内容及项目名称地点</w:t>
      </w:r>
      <w:bookmarkEnd w:id="0"/>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asciiTheme="minorEastAsia" w:hAnsiTheme="minorEastAsia"/>
          <w:szCs w:val="28"/>
          <w:highlight w:val="none"/>
          <w:lang w:val="en-US" w:eastAsia="zh-CN"/>
        </w:rPr>
        <w:t>2.1.1主要工程内容：</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2.1.1.1 完成溜煤眼上口破碎机基础、溜煤眼仓体、溜煤眼下口、给煤机硐室、给煤机平台、3煤19联巷补强支护等整体设计，并由具有甲级设计资质的单位出具签章版设计及施工图纸。</w:t>
      </w:r>
    </w:p>
    <w:p>
      <w:pPr>
        <w:spacing w:line="360" w:lineRule="auto"/>
        <w:ind w:right="42" w:rightChars="20" w:firstLine="315" w:firstLineChars="150"/>
        <w:rPr>
          <w:rFonts w:hint="default"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2.1.1.2要求溜煤眼采用直溜煤眼形式，包括上锁口、仓体、下锁口、给煤机硐室四部分，每个部分有单独的施工图，溜煤眼仓体要求掘进荒直径 3.5m，净直径2.9m，要求第一次为锚网支护，第二次为混凝土砌碹支护，混凝土强度等级为C30。</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2.1.1.3 溜煤眼上口破碎机安装硐室利用原有巷道，设计时充分考虑破碎机的起吊、安装及检修。</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2.1.1.4 要求给煤机溜槽安装单独出施工图，给煤机溜槽整体采用钢结构设计，设计时确保煤流系统能直接落至3煤主运大巷，中部不在增加运输环节。</w:t>
      </w:r>
    </w:p>
    <w:p>
      <w:pPr>
        <w:spacing w:line="360" w:lineRule="auto"/>
        <w:ind w:right="42" w:rightChars="20" w:firstLine="315" w:firstLineChars="150"/>
        <w:rPr>
          <w:rFonts w:hint="default"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2.1.1.5 要求给煤机检修平台单独出施工图，给煤机检修平台整体采用钢结构设计，检修轨道采用钢轨设计。</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2.1.1.6 溜煤眼下口预埋件单独出施工图，溜煤眼下口要求整体采用砌碹布置。</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2.1.1.7 溜煤眼下口要求采用钢筋混凝土加强支护，并在施工图中明确钢筋布置。</w:t>
      </w:r>
    </w:p>
    <w:p>
      <w:pPr>
        <w:spacing w:line="360" w:lineRule="auto"/>
        <w:ind w:right="42" w:rightChars="20" w:firstLine="315" w:firstLineChars="150"/>
        <w:rPr>
          <w:rFonts w:hint="default"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2.1.1.8 溜煤眼设计中要充分考虑溜煤眼防堵、防溃、防砸、通风、排水、管线布置等因素，空气炮设备布置及安装一并设计，设计时充分考虑矿井现有设备。</w:t>
      </w:r>
    </w:p>
    <w:p>
      <w:pPr>
        <w:spacing w:line="360" w:lineRule="auto"/>
        <w:ind w:right="42" w:rightChars="20" w:firstLine="315" w:firstLineChars="150"/>
        <w:rPr>
          <w:rFonts w:hint="default" w:asciiTheme="minorEastAsia" w:hAnsiTheme="minorEastAsia"/>
          <w:szCs w:val="28"/>
          <w:highlight w:val="none"/>
          <w:lang w:val="en-US" w:eastAsia="zh-CN"/>
        </w:rPr>
      </w:pPr>
      <w:r>
        <w:rPr>
          <w:rFonts w:hint="eastAsia" w:asciiTheme="minorEastAsia" w:hAnsiTheme="minorEastAsia"/>
          <w:szCs w:val="28"/>
          <w:highlight w:val="none"/>
          <w:lang w:val="en-US" w:eastAsia="zh-CN"/>
        </w:rPr>
        <w:t>2.1.1.9 溜煤眼设计在后期施工过程中如发现问题应积极配合采购人修改出现的遗漏和错误。</w:t>
      </w:r>
    </w:p>
    <w:p>
      <w:pPr>
        <w:spacing w:line="360" w:lineRule="auto"/>
        <w:ind w:right="42" w:rightChars="20" w:firstLine="315" w:firstLineChars="150"/>
        <w:rPr>
          <w:rFonts w:hint="default"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2.1.1.10 溜煤眼整体设计要求在合同签订起15日内完成。</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2.1.1.11 施工包括溜煤眼上口破碎机基础、溜煤眼仓体、溜煤眼下口、给煤机硐室等开挖及浇筑、3煤19联巷补强支护（含喷浆）、破碎机、给煤机、给煤机平台安装、空气炮安装、通风及电缆管道、破碎机封闭等整体施工。</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2.1.1.12 溜煤眼施工必须采用反井钻施工，要求一次扩刷成孔，井下矸石运输由报价人运至采购人指定排矸地点。</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2.1.1.13 施工过程中溜煤眼上锁口采用工字钢加工成“井”字方格外，其余孔各上方平焊花纹钢板。</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2.1.1.14 施工过程中溜煤眼下锁口要求由弧形缩小至漏斗底部方形。</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2.1.1.15 施工前要求报价人按照设计要求给出溜煤眼十字中心线及上、下口硐室的中线、腰线。</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2.1.1.16 主提升绞车、提升天轮、吊篮、通讯等设备设施均为报价人提供，钻机基础掘砌、现场轨道铺设、钻机组装及固定由报价人自行负责。</w:t>
      </w:r>
    </w:p>
    <w:p>
      <w:pPr>
        <w:spacing w:line="360" w:lineRule="auto"/>
        <w:ind w:right="42" w:rightChars="20" w:firstLine="315" w:firstLineChars="150"/>
        <w:rPr>
          <w:rFonts w:hint="default" w:asciiTheme="minorEastAsia" w:hAnsiTheme="minorEastAsia"/>
          <w:szCs w:val="28"/>
          <w:highlight w:val="none"/>
          <w:lang w:val="en-US" w:eastAsia="zh-CN"/>
        </w:rPr>
      </w:pPr>
      <w:r>
        <w:rPr>
          <w:rFonts w:hint="eastAsia" w:asciiTheme="minorEastAsia" w:hAnsiTheme="minorEastAsia"/>
          <w:szCs w:val="28"/>
          <w:highlight w:val="none"/>
          <w:lang w:val="en-US" w:eastAsia="zh-CN"/>
        </w:rPr>
        <w:t>2.1.1.17 要求报价人采用1.5寸钢管搭设脚手架工作平台，脚手架纵横宽度为1.5m，高度1.5m，斜拉撑不少于4道，脚手架上满铺70mm厚优质大板，并用扒钉钉牢。</w:t>
      </w:r>
    </w:p>
    <w:p>
      <w:pPr>
        <w:spacing w:line="360" w:lineRule="auto"/>
        <w:ind w:right="42" w:rightChars="20" w:firstLine="315" w:firstLineChars="150"/>
        <w:rPr>
          <w:rFonts w:hint="default" w:asciiTheme="minorEastAsia" w:hAnsiTheme="minorEastAsia"/>
          <w:szCs w:val="28"/>
          <w:highlight w:val="none"/>
          <w:lang w:val="en-US" w:eastAsia="zh-CN"/>
        </w:rPr>
      </w:pPr>
      <w:r>
        <w:rPr>
          <w:rFonts w:hint="eastAsia" w:asciiTheme="minorEastAsia" w:hAnsiTheme="minorEastAsia"/>
          <w:szCs w:val="28"/>
          <w:highlight w:val="none"/>
          <w:lang w:val="en-US" w:eastAsia="zh-CN"/>
        </w:rPr>
        <w:t>2.1.1.18 模版工程要求报价人严格执行以下工序：工作面找平→②稳装碹股→③打撑子固定牢固→④用撑子把碹股连接成整体→⑤浇筑砼（四个角对称浇）至适宜位置→⑥养护→⑦下一循环。</w:t>
      </w:r>
    </w:p>
    <w:p>
      <w:pPr>
        <w:spacing w:line="360" w:lineRule="auto"/>
        <w:ind w:right="42" w:rightChars="20" w:firstLine="315" w:firstLineChars="150"/>
        <w:rPr>
          <w:rFonts w:hint="default"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2.1.1.19 采购人负责提供破碎机设备，报价人负责购买给煤机、空气炮、管路管线等所需设备设施，所有设备的安装工程均由报价人负责。</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2.1.1.20 报价人提供的甲带给料机（参考型号GLJL5000/15/B500～5000t/h）主要包括：仓口连接段、新型防砸托链装置、新型托辊组件、甲带、快装滚子链牵引阻燃胶链带组件、(新型)前置清扫器、连接段、防砸导料槽、液压闸门组件、液压站、加强型底架、驱动齿轮滚筒总成、改向齿轮滚筒总成、中间清扫器、驱动装置总成、传动机构等。</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2.1.1.21 给煤机形式为甲带给煤机，给料粒度≤900mm，给料能500-5000t/h；给煤机输送带带宽为1350mm，带速0.5-1.5m/s，厚度不低于20mm，采用煤矿用滚子链牵引阻燃输送带（交货时提供煤安证）,两侧链条链片具有阻漏防止撒煤功能，上覆甲带；传动方式为驱动滚筒与改向滚筒两端设有特钢链轮，主电机带动减速机转动，将动力传递给驱动滚筒，滚筒齿轮带动侧定位条绕驱动和改向滚筒旋转，侧定位条带动输送带输送物料。</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2.1.1.22 给煤机主体材质不低于Q235，落料连接段及与煤接触的工作面一律采用耐磨衬板，保证经久耐用，耐磨衬板≥10mm，加装清扫器，胶链带两侧加高分子挡煤板，出料口设有双层聚氨酯刮煤板，刮煤板厚度不少于20mm，自润滑、耐磨损、防锈蚀、不粘料、不变形。</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2.1.1.23给煤机减速器形式为K系列法兰盘快换式减速机，可实现手动无级调速或通过变频器远程调速。</w:t>
      </w:r>
    </w:p>
    <w:p>
      <w:pPr>
        <w:spacing w:line="360" w:lineRule="auto"/>
        <w:ind w:right="42" w:rightChars="20" w:firstLine="315" w:firstLineChars="150"/>
        <w:rPr>
          <w:rFonts w:hint="eastAsia" w:asciiTheme="minorEastAsia" w:hAnsiTheme="minorEastAsia"/>
          <w:szCs w:val="28"/>
          <w:highlight w:val="none"/>
          <w:lang w:val="zh-CN" w:eastAsia="zh-CN"/>
        </w:rPr>
      </w:pPr>
      <w:r>
        <w:rPr>
          <w:rFonts w:hint="eastAsia"/>
        </w:rPr>
        <w:t>★</w:t>
      </w:r>
      <w:r>
        <w:rPr>
          <w:rFonts w:hint="eastAsia" w:asciiTheme="minorEastAsia" w:hAnsiTheme="minorEastAsia"/>
          <w:szCs w:val="28"/>
          <w:highlight w:val="none"/>
          <w:lang w:val="en-US" w:eastAsia="zh-CN"/>
        </w:rPr>
        <w:t>2.1.1.24给煤机输送带采用煤矿用滚子链牵引阻燃输送带，该输送带必须防阻燃，具备煤安证，并具备快装接口，速装快拆式接头采用交叉串接结构与胶链带一次硫化成型，可实现胶链带的快速更换；驱动滚筒与改向滚筒两端设有重型特钢链轮，链轮采用耐磨合金钢精锻，齿面高频淬火，结构强度高，耐磨损，使用寿命长。输送带必须提供矿用产品安全标志，报价时需提供产品安标定性检测报告</w:t>
      </w:r>
      <w:r>
        <w:rPr>
          <w:rFonts w:hint="eastAsia" w:asciiTheme="minorEastAsia" w:hAnsiTheme="minorEastAsia"/>
          <w:szCs w:val="28"/>
          <w:highlight w:val="none"/>
          <w:lang w:val="zh-CN" w:eastAsia="zh-CN"/>
        </w:rPr>
        <w:t>。</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 xml:space="preserve">2.1.1.25给煤机要求配带电液动平板闸门，采用独立液压站双缸同步驱动控制闸门，电机功率4KW，660/1140V。带限位开关，并配套矿用隔爆型闸门控制箱，可并入集控网络，实现远程控制，并具就地/远程转换功能，控制电压127V。    </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2.1.1.26要求给煤机整体设备实现半封闭、实现现场环境零漏料、无粉尘。</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2.1.1.27设备机架采用加强型槽钢及斜拉直连交叉定位防变形结构，结构</w:t>
      </w:r>
    </w:p>
    <w:p>
      <w:pPr>
        <w:spacing w:line="360" w:lineRule="auto"/>
        <w:ind w:right="42" w:rightChars="20"/>
        <w:rPr>
          <w:rFonts w:hint="eastAsia" w:asciiTheme="minorEastAsia" w:hAnsiTheme="minorEastAsia"/>
          <w:szCs w:val="28"/>
          <w:highlight w:val="none"/>
          <w:lang w:val="en-US" w:eastAsia="zh-CN"/>
        </w:rPr>
      </w:pPr>
      <w:r>
        <w:rPr>
          <w:rFonts w:hint="eastAsia" w:asciiTheme="minorEastAsia" w:hAnsiTheme="minorEastAsia"/>
          <w:szCs w:val="28"/>
          <w:highlight w:val="none"/>
          <w:lang w:val="en-US" w:eastAsia="zh-CN"/>
        </w:rPr>
        <w:t>设计合理，提高强度、刚度和稳定性的要求。</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2.1.1.28给煤机仓口法兰与煤仓口采用螺栓密封对接，然后物料经过漏斗落向给煤机箱体。给煤机槽体为密封性箱体，在机头的落煤端设有橡胶帘子门，能有效地控制粉尘的飞扬，便于现场管理和工作环境维护。</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2.1.1.29所有运转部位必须加装防护罩，防护罩结构和布局应设计合理，使人体不能直接进入危险区域。防护罩应采用封闭结构或网状结构，不影响视线和正常操作，便于设备的检查和维修，便于运行人员的巡视检查，防护罩应双面刷涂黄色漆，于防护罩的顶部中间部位刷涂旋转方向（白色）箭头。</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2.1.1.30所有部件均经喷砂喷漆防腐处理，所有配合面为防水密封处理，以适应现场恶劣环境。</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2.1.1.31报价人设计及安装的空气炮不小于2台，并配备配套电控箱2套。</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asciiTheme="minorEastAsia" w:hAnsiTheme="minorEastAsia"/>
          <w:szCs w:val="28"/>
          <w:highlight w:val="none"/>
          <w:lang w:val="en-US" w:eastAsia="zh-CN"/>
        </w:rPr>
        <w:t>2.1.1.32 所有施工、安装、基础材料均为报价人提供，进场前，按照《</w:t>
      </w:r>
      <w:r>
        <w:rPr>
          <w:rFonts w:hint="eastAsia" w:asciiTheme="minorEastAsia" w:hAnsiTheme="minorEastAsia"/>
          <w:szCs w:val="28"/>
          <w:highlight w:val="none"/>
          <w:lang w:val="zh-CN" w:eastAsia="zh-CN"/>
        </w:rPr>
        <w:t>煤矿井巷工程质量验收规范</w:t>
      </w:r>
      <w:r>
        <w:rPr>
          <w:rFonts w:hint="eastAsia" w:asciiTheme="minorEastAsia" w:hAnsiTheme="minorEastAsia"/>
          <w:szCs w:val="28"/>
          <w:highlight w:val="none"/>
          <w:lang w:val="en-US" w:eastAsia="zh-CN"/>
        </w:rPr>
        <w:t>2022版》（GB50213-2010）的规定及采购方要求，报价方提供由第三方检测机构出具的混凝土配合比报告、石子、水泥、沙子、锚杆、锚索、网片、工字钢等原材料检测报告；进场后，按照《</w:t>
      </w:r>
      <w:r>
        <w:rPr>
          <w:rFonts w:hint="eastAsia" w:asciiTheme="minorEastAsia" w:hAnsiTheme="minorEastAsia"/>
          <w:szCs w:val="28"/>
          <w:highlight w:val="none"/>
          <w:lang w:val="zh-CN" w:eastAsia="zh-CN"/>
        </w:rPr>
        <w:t>煤矿井巷工程质量验收规范</w:t>
      </w:r>
      <w:r>
        <w:rPr>
          <w:rFonts w:hint="eastAsia" w:asciiTheme="minorEastAsia" w:hAnsiTheme="minorEastAsia"/>
          <w:szCs w:val="28"/>
          <w:highlight w:val="none"/>
          <w:lang w:val="en-US" w:eastAsia="zh-CN"/>
        </w:rPr>
        <w:t>2022版》（GB50213-2010）的规定及采购方要求，委托第三方检测机构做好混凝土试块强度试验报告及支护材料检测报告。上述检测项目费用，由报价人承担。</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2.1.1.33施工过程中需有序堆放材料，不得影响车辆通行，保护好巷道内原有管线及其他设备，施工完毕后，将现场清理整洁。</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2.1.1.34 报价人自行承担施工期间人员培训、出入井设备、材料、人员运输和提升等工作。</w:t>
      </w:r>
    </w:p>
    <w:p>
      <w:pPr>
        <w:spacing w:line="360" w:lineRule="auto"/>
        <w:ind w:right="42" w:rightChars="20" w:firstLine="315" w:firstLineChars="150"/>
        <w:rPr>
          <w:rFonts w:hint="eastAsia" w:asciiTheme="minorEastAsia" w:hAnsiTheme="minorEastAsia"/>
          <w:b/>
          <w:bCs/>
          <w:szCs w:val="28"/>
          <w:highlight w:val="none"/>
          <w:lang w:val="en-US" w:eastAsia="zh-CN"/>
        </w:rPr>
      </w:pPr>
      <w:r>
        <w:rPr>
          <w:rFonts w:hint="eastAsia" w:asciiTheme="minorEastAsia" w:hAnsiTheme="minorEastAsia"/>
          <w:b/>
          <w:bCs/>
          <w:szCs w:val="28"/>
          <w:highlight w:val="none"/>
          <w:lang w:val="en-US" w:eastAsia="zh-CN"/>
        </w:rPr>
        <w:t>三、工作地点及名称</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asciiTheme="minorEastAsia" w:hAnsiTheme="minorEastAsia"/>
          <w:szCs w:val="28"/>
          <w:highlight w:val="none"/>
          <w:lang w:val="en-US" w:eastAsia="zh-CN"/>
        </w:rPr>
        <w:t>3.1.1.1工作地点：内蒙古李家塔矿业有限公司2-2中煤集辅3联巷处</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asciiTheme="minorEastAsia" w:hAnsiTheme="minorEastAsia"/>
          <w:szCs w:val="28"/>
          <w:highlight w:val="none"/>
          <w:lang w:val="en-US" w:eastAsia="zh-CN"/>
        </w:rPr>
        <w:t>3.1.1.2 项目名称：内蒙古李家塔矿业有限公司2-2中煤集辅3联巷处施工溜煤眼优化运输系统技改工程项目</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3.1.1.3本工程承包方式：包设计、包工包料、包质量、包工期、包安全、包文明施工及验收通过。</w:t>
      </w:r>
    </w:p>
    <w:p>
      <w:pPr>
        <w:spacing w:line="360" w:lineRule="auto"/>
        <w:ind w:right="42" w:rightChars="20" w:firstLine="315" w:firstLineChars="150"/>
        <w:rPr>
          <w:rFonts w:hint="default"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3.1.1.4 本工程严格按设计施工，给煤机检修平台及溜槽加工等部件等需现场测量切割，超出设计部分不予结算。施工过程中所超出设计部分的工程量均由报价人自行承担。</w:t>
      </w:r>
    </w:p>
    <w:p>
      <w:pPr>
        <w:spacing w:line="360" w:lineRule="auto"/>
        <w:ind w:right="42" w:rightChars="20" w:firstLine="315" w:firstLineChars="150"/>
        <w:rPr>
          <w:rFonts w:hint="default"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3.1.1.5 溜煤眼所有钢结构平台要求除锈处理，处理表面达到Sa2.5。</w:t>
      </w:r>
    </w:p>
    <w:p>
      <w:pPr>
        <w:spacing w:line="360" w:lineRule="auto"/>
        <w:ind w:right="42" w:rightChars="20" w:firstLine="315" w:firstLineChars="150"/>
        <w:rPr>
          <w:rFonts w:hint="default" w:asciiTheme="minorEastAsia" w:hAnsiTheme="minorEastAsia"/>
          <w:szCs w:val="28"/>
          <w:highlight w:val="none"/>
          <w:lang w:val="en-US" w:eastAsia="zh-CN"/>
        </w:rPr>
      </w:pPr>
      <w:r>
        <w:rPr>
          <w:rFonts w:hint="eastAsia"/>
        </w:rPr>
        <w:t>★</w:t>
      </w:r>
      <w:r>
        <w:rPr>
          <w:rFonts w:hint="eastAsia" w:asciiTheme="minorEastAsia" w:hAnsiTheme="minorEastAsia"/>
          <w:szCs w:val="28"/>
          <w:highlight w:val="none"/>
          <w:lang w:val="en-US" w:eastAsia="zh-CN"/>
        </w:rPr>
        <w:t>3.1.1.6 溜煤眼所有钢结构表面涂两道底漆，两道面漆，其中最后一道面漆在现场安装完毕后喷涂。</w:t>
      </w:r>
    </w:p>
    <w:p>
      <w:pPr>
        <w:spacing w:line="360" w:lineRule="auto"/>
        <w:ind w:right="42" w:rightChars="20" w:firstLine="315" w:firstLineChars="150"/>
        <w:rPr>
          <w:rFonts w:hint="eastAsia" w:asciiTheme="minorEastAsia" w:hAnsiTheme="minorEastAsia"/>
          <w:szCs w:val="28"/>
          <w:highlight w:val="none"/>
          <w:lang w:val="en-US" w:eastAsia="zh-CN"/>
        </w:rPr>
      </w:pPr>
      <w:r>
        <w:rPr>
          <w:rFonts w:hint="eastAsia" w:asciiTheme="minorEastAsia" w:hAnsiTheme="minorEastAsia"/>
          <w:szCs w:val="28"/>
          <w:highlight w:val="none"/>
          <w:lang w:val="en-US" w:eastAsia="zh-CN"/>
        </w:rPr>
        <w:t>3.1.1.7给煤机平台各部件中型钢加工完成后在现场焊接组装。</w:t>
      </w:r>
    </w:p>
    <w:p>
      <w:pPr>
        <w:spacing w:line="360" w:lineRule="auto"/>
        <w:ind w:right="42" w:rightChars="20" w:firstLine="315" w:firstLineChars="150"/>
        <w:jc w:val="center"/>
        <w:rPr>
          <w:rFonts w:hint="default" w:asciiTheme="minorEastAsia" w:hAnsiTheme="minorEastAsia"/>
          <w:szCs w:val="28"/>
          <w:highlight w:val="none"/>
          <w:lang w:val="en-US" w:eastAsia="zh-CN"/>
        </w:rPr>
      </w:pPr>
      <w:r>
        <w:rPr>
          <w:rFonts w:hint="eastAsia"/>
        </w:rPr>
        <w:t>★</w:t>
      </w:r>
      <w:r>
        <w:rPr>
          <w:rFonts w:hint="eastAsia" w:asciiTheme="minorEastAsia" w:hAnsiTheme="minorEastAsia"/>
          <w:b/>
          <w:bCs/>
          <w:szCs w:val="28"/>
          <w:highlight w:val="none"/>
          <w:lang w:val="en-US" w:eastAsia="zh-CN"/>
        </w:rPr>
        <w:t>2-2中煤集辅3联巷处施工溜煤眼优化运输系统技改工程施工明细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6610"/>
        <w:gridCol w:w="6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22" w:type="dxa"/>
            <w:vAlign w:val="bottom"/>
          </w:tcPr>
          <w:p>
            <w:pPr>
              <w:widowControl w:val="0"/>
              <w:spacing w:line="360" w:lineRule="auto"/>
              <w:ind w:right="42" w:rightChars="20" w:firstLine="315" w:firstLineChars="150"/>
              <w:rPr>
                <w:rFonts w:hint="eastAsia" w:asciiTheme="minorEastAsia" w:hAnsiTheme="minorEastAsia"/>
                <w:szCs w:val="28"/>
                <w:highlight w:val="none"/>
                <w:lang w:val="en-US" w:eastAsia="zh-CN"/>
              </w:rPr>
            </w:pPr>
            <w:r>
              <w:rPr>
                <w:rFonts w:hint="eastAsia" w:asciiTheme="minorEastAsia" w:hAnsiTheme="minorEastAsia"/>
                <w:szCs w:val="28"/>
                <w:highlight w:val="none"/>
                <w:lang w:val="en-US" w:eastAsia="zh-CN"/>
              </w:rPr>
              <w:t>序号</w:t>
            </w:r>
          </w:p>
        </w:tc>
        <w:tc>
          <w:tcPr>
            <w:tcW w:w="6610" w:type="dxa"/>
            <w:vAlign w:val="bottom"/>
          </w:tcPr>
          <w:p>
            <w:pPr>
              <w:widowControl w:val="0"/>
              <w:spacing w:line="360" w:lineRule="auto"/>
              <w:ind w:right="42" w:rightChars="20" w:firstLine="315" w:firstLineChars="150"/>
              <w:rPr>
                <w:rFonts w:hint="eastAsia" w:asciiTheme="minorEastAsia" w:hAnsiTheme="minorEastAsia"/>
                <w:szCs w:val="28"/>
                <w:highlight w:val="none"/>
                <w:lang w:val="en-US" w:eastAsia="zh-CN"/>
              </w:rPr>
            </w:pPr>
            <w:r>
              <w:rPr>
                <w:rFonts w:hint="eastAsia" w:asciiTheme="minorEastAsia" w:hAnsiTheme="minorEastAsia"/>
                <w:szCs w:val="28"/>
                <w:highlight w:val="none"/>
                <w:lang w:val="en-US" w:eastAsia="zh-CN"/>
              </w:rPr>
              <w:t>名  称</w:t>
            </w:r>
          </w:p>
        </w:tc>
        <w:tc>
          <w:tcPr>
            <w:tcW w:w="6130" w:type="dxa"/>
            <w:vAlign w:val="bottom"/>
          </w:tcPr>
          <w:p>
            <w:pPr>
              <w:widowControl w:val="0"/>
              <w:spacing w:line="360" w:lineRule="auto"/>
              <w:ind w:right="42" w:rightChars="20" w:firstLine="315" w:firstLineChars="150"/>
              <w:rPr>
                <w:rFonts w:hint="default" w:asciiTheme="minorEastAsia" w:hAnsiTheme="minorEastAsia"/>
                <w:szCs w:val="28"/>
                <w:highlight w:val="none"/>
                <w:lang w:val="en-US" w:eastAsia="zh-CN"/>
              </w:rPr>
            </w:pPr>
            <w:r>
              <w:rPr>
                <w:rFonts w:hint="eastAsia" w:asciiTheme="minorEastAsia" w:hAnsiTheme="minorEastAsia"/>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bottom"/>
          </w:tcPr>
          <w:p>
            <w:pPr>
              <w:widowControl w:val="0"/>
              <w:spacing w:line="360" w:lineRule="auto"/>
              <w:ind w:right="42" w:rightChars="20" w:firstLine="315" w:firstLineChars="150"/>
              <w:rPr>
                <w:rFonts w:hint="eastAsia" w:asciiTheme="minorEastAsia" w:hAnsiTheme="minorEastAsia"/>
                <w:szCs w:val="28"/>
                <w:highlight w:val="none"/>
                <w:lang w:val="en-US" w:eastAsia="zh-CN"/>
              </w:rPr>
            </w:pPr>
            <w:r>
              <w:rPr>
                <w:rFonts w:hint="eastAsia" w:asciiTheme="minorEastAsia" w:hAnsiTheme="minorEastAsia"/>
                <w:szCs w:val="28"/>
                <w:highlight w:val="none"/>
                <w:lang w:val="en-US" w:eastAsia="zh-CN"/>
              </w:rPr>
              <w:t>一</w:t>
            </w:r>
          </w:p>
        </w:tc>
        <w:tc>
          <w:tcPr>
            <w:tcW w:w="6610" w:type="dxa"/>
            <w:vAlign w:val="bottom"/>
          </w:tcPr>
          <w:p>
            <w:pPr>
              <w:widowControl w:val="0"/>
              <w:spacing w:line="360" w:lineRule="auto"/>
              <w:ind w:right="42" w:rightChars="20" w:firstLine="315" w:firstLineChars="150"/>
              <w:rPr>
                <w:rFonts w:hint="default" w:asciiTheme="minorEastAsia" w:hAnsiTheme="minorEastAsia"/>
                <w:szCs w:val="28"/>
                <w:highlight w:val="none"/>
                <w:lang w:val="en-US" w:eastAsia="zh-CN"/>
              </w:rPr>
            </w:pPr>
            <w:r>
              <w:rPr>
                <w:rFonts w:hint="eastAsia" w:asciiTheme="minorEastAsia" w:hAnsiTheme="minorEastAsia"/>
                <w:szCs w:val="28"/>
                <w:highlight w:val="none"/>
                <w:lang w:val="en-US" w:eastAsia="zh-CN"/>
              </w:rPr>
              <w:t>溜煤眼总体设计</w:t>
            </w:r>
          </w:p>
        </w:tc>
        <w:tc>
          <w:tcPr>
            <w:tcW w:w="6130" w:type="dxa"/>
            <w:vAlign w:val="bottom"/>
          </w:tcPr>
          <w:p>
            <w:pPr>
              <w:widowControl w:val="0"/>
              <w:spacing w:line="360" w:lineRule="auto"/>
              <w:ind w:right="42" w:rightChars="20" w:firstLine="315" w:firstLineChars="150"/>
              <w:rPr>
                <w:rFonts w:hint="default" w:asciiTheme="minorEastAsia" w:hAnsiTheme="minorEastAsia"/>
                <w:szCs w:val="28"/>
                <w:highlight w:val="none"/>
                <w:lang w:val="en-US" w:eastAsia="zh-CN"/>
              </w:rPr>
            </w:pPr>
            <w:r>
              <w:rPr>
                <w:rFonts w:hint="eastAsia" w:asciiTheme="minorEastAsia" w:hAnsiTheme="minorEastAsia"/>
                <w:szCs w:val="28"/>
                <w:highlight w:val="none"/>
                <w:lang w:val="en-US" w:eastAsia="zh-CN"/>
              </w:rPr>
              <w:t>15天完成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bottom"/>
          </w:tcPr>
          <w:p>
            <w:pPr>
              <w:widowControl w:val="0"/>
              <w:spacing w:line="360" w:lineRule="auto"/>
              <w:ind w:right="42" w:rightChars="20" w:firstLine="315" w:firstLineChars="150"/>
              <w:rPr>
                <w:rFonts w:hint="eastAsia" w:asciiTheme="minorEastAsia" w:hAnsiTheme="minorEastAsia"/>
                <w:szCs w:val="28"/>
                <w:highlight w:val="none"/>
                <w:lang w:val="en-US" w:eastAsia="zh-CN"/>
              </w:rPr>
            </w:pPr>
            <w:r>
              <w:rPr>
                <w:rFonts w:hint="eastAsia" w:asciiTheme="minorEastAsia" w:hAnsiTheme="minorEastAsia"/>
                <w:szCs w:val="28"/>
                <w:highlight w:val="none"/>
                <w:lang w:val="en-US" w:eastAsia="zh-CN"/>
              </w:rPr>
              <w:t>二</w:t>
            </w:r>
          </w:p>
        </w:tc>
        <w:tc>
          <w:tcPr>
            <w:tcW w:w="6610" w:type="dxa"/>
            <w:vAlign w:val="bottom"/>
          </w:tcPr>
          <w:p>
            <w:pPr>
              <w:widowControl w:val="0"/>
              <w:spacing w:line="360" w:lineRule="auto"/>
              <w:ind w:right="42" w:rightChars="20" w:firstLine="315" w:firstLineChars="150"/>
              <w:rPr>
                <w:rFonts w:hint="eastAsia" w:asciiTheme="minorEastAsia" w:hAnsiTheme="minorEastAsia"/>
                <w:szCs w:val="28"/>
                <w:highlight w:val="none"/>
                <w:lang w:val="en-US" w:eastAsia="zh-CN"/>
              </w:rPr>
            </w:pPr>
            <w:r>
              <w:rPr>
                <w:rFonts w:hint="eastAsia" w:asciiTheme="minorEastAsia" w:hAnsiTheme="minorEastAsia"/>
                <w:szCs w:val="28"/>
                <w:highlight w:val="none"/>
                <w:lang w:val="en-US" w:eastAsia="zh-CN"/>
              </w:rPr>
              <w:t>溜煤眼总体施工、溜煤眼破碎机、给煤机、</w:t>
            </w:r>
          </w:p>
          <w:p>
            <w:pPr>
              <w:widowControl w:val="0"/>
              <w:spacing w:line="360" w:lineRule="auto"/>
              <w:ind w:right="42" w:rightChars="20" w:firstLine="315" w:firstLineChars="150"/>
              <w:rPr>
                <w:rFonts w:hint="default" w:asciiTheme="minorEastAsia" w:hAnsiTheme="minorEastAsia"/>
                <w:szCs w:val="28"/>
                <w:highlight w:val="none"/>
                <w:lang w:val="en-US" w:eastAsia="zh-CN"/>
              </w:rPr>
            </w:pPr>
            <w:r>
              <w:rPr>
                <w:rFonts w:hint="eastAsia" w:asciiTheme="minorEastAsia" w:hAnsiTheme="minorEastAsia"/>
                <w:szCs w:val="28"/>
                <w:highlight w:val="none"/>
                <w:lang w:val="en-US" w:eastAsia="zh-CN"/>
              </w:rPr>
              <w:t>空气炮、安装及调试</w:t>
            </w:r>
          </w:p>
        </w:tc>
        <w:tc>
          <w:tcPr>
            <w:tcW w:w="6130" w:type="dxa"/>
            <w:vAlign w:val="bottom"/>
          </w:tcPr>
          <w:p>
            <w:pPr>
              <w:widowControl w:val="0"/>
              <w:spacing w:line="360" w:lineRule="auto"/>
              <w:ind w:right="42" w:rightChars="20" w:firstLine="315" w:firstLineChars="150"/>
              <w:rPr>
                <w:rFonts w:hint="default" w:asciiTheme="minorEastAsia" w:hAnsiTheme="minorEastAsia"/>
                <w:szCs w:val="28"/>
                <w:highlight w:val="none"/>
                <w:lang w:val="en-US" w:eastAsia="zh-CN"/>
              </w:rPr>
            </w:pPr>
            <w:r>
              <w:rPr>
                <w:rFonts w:hint="eastAsia" w:asciiTheme="minorEastAsia" w:hAnsiTheme="minorEastAsia"/>
                <w:szCs w:val="28"/>
                <w:highlight w:val="none"/>
                <w:lang w:val="en-US" w:eastAsia="zh-CN"/>
              </w:rPr>
              <w:t>60天完成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bottom"/>
          </w:tcPr>
          <w:p>
            <w:pPr>
              <w:widowControl w:val="0"/>
              <w:spacing w:line="360" w:lineRule="auto"/>
              <w:ind w:right="42" w:rightChars="20" w:firstLine="315" w:firstLineChars="150"/>
              <w:rPr>
                <w:rFonts w:hint="eastAsia" w:asciiTheme="minorEastAsia" w:hAnsiTheme="minorEastAsia"/>
                <w:szCs w:val="28"/>
                <w:highlight w:val="none"/>
                <w:lang w:val="en-US" w:eastAsia="zh-CN"/>
              </w:rPr>
            </w:pPr>
            <w:r>
              <w:rPr>
                <w:rFonts w:hint="eastAsia" w:asciiTheme="minorEastAsia" w:hAnsiTheme="minorEastAsia"/>
                <w:szCs w:val="28"/>
                <w:highlight w:val="none"/>
                <w:lang w:val="en-US" w:eastAsia="zh-CN"/>
              </w:rPr>
              <w:t>三</w:t>
            </w:r>
          </w:p>
        </w:tc>
        <w:tc>
          <w:tcPr>
            <w:tcW w:w="6610" w:type="dxa"/>
            <w:vAlign w:val="bottom"/>
          </w:tcPr>
          <w:p>
            <w:pPr>
              <w:widowControl w:val="0"/>
              <w:spacing w:line="360" w:lineRule="auto"/>
              <w:ind w:right="42" w:rightChars="20" w:firstLine="315" w:firstLineChars="150"/>
              <w:rPr>
                <w:rFonts w:hint="default" w:asciiTheme="minorEastAsia" w:hAnsiTheme="minorEastAsia"/>
                <w:szCs w:val="28"/>
                <w:highlight w:val="none"/>
                <w:lang w:val="en-US" w:eastAsia="zh-CN"/>
              </w:rPr>
            </w:pPr>
            <w:r>
              <w:rPr>
                <w:rFonts w:hint="eastAsia" w:asciiTheme="minorEastAsia" w:hAnsiTheme="minorEastAsia"/>
                <w:szCs w:val="28"/>
                <w:highlight w:val="none"/>
                <w:lang w:val="en-US" w:eastAsia="zh-CN"/>
              </w:rPr>
              <w:t>溜煤眼试运转</w:t>
            </w:r>
          </w:p>
        </w:tc>
        <w:tc>
          <w:tcPr>
            <w:tcW w:w="6130" w:type="dxa"/>
            <w:vAlign w:val="bottom"/>
          </w:tcPr>
          <w:p>
            <w:pPr>
              <w:widowControl w:val="0"/>
              <w:spacing w:line="360" w:lineRule="auto"/>
              <w:ind w:right="42" w:rightChars="20" w:firstLine="315" w:firstLineChars="150"/>
              <w:rPr>
                <w:rFonts w:hint="default" w:asciiTheme="minorEastAsia" w:hAnsiTheme="minorEastAsia"/>
                <w:szCs w:val="28"/>
                <w:highlight w:val="none"/>
                <w:lang w:val="en-US" w:eastAsia="zh-CN"/>
              </w:rPr>
            </w:pPr>
            <w:r>
              <w:rPr>
                <w:rFonts w:hint="eastAsia" w:asciiTheme="minorEastAsia" w:hAnsiTheme="minorEastAsia"/>
                <w:szCs w:val="28"/>
                <w:highlight w:val="none"/>
                <w:lang w:val="en-US" w:eastAsia="zh-CN"/>
              </w:rPr>
              <w:t>5天完成</w:t>
            </w:r>
          </w:p>
        </w:tc>
      </w:tr>
    </w:tbl>
    <w:p>
      <w:pPr>
        <w:spacing w:line="360" w:lineRule="auto"/>
        <w:ind w:right="42" w:rightChars="20" w:firstLine="315" w:firstLineChars="150"/>
        <w:rPr>
          <w:rFonts w:ascii="黑体" w:hAnsi="黑体" w:eastAsia="黑体" w:cs="黑体"/>
          <w:color w:val="000000" w:themeColor="text1"/>
          <w:sz w:val="28"/>
          <w14:textFill>
            <w14:solidFill>
              <w14:schemeClr w14:val="tx1"/>
            </w14:solidFill>
          </w14:textFill>
        </w:rPr>
      </w:pPr>
      <w:bookmarkStart w:id="1" w:name="_Toc2127"/>
      <w:r>
        <w:rPr>
          <w:rFonts w:hint="eastAsia" w:asciiTheme="minorEastAsia" w:hAnsiTheme="minorEastAsia"/>
          <w:b/>
          <w:bCs/>
          <w:szCs w:val="28"/>
          <w:highlight w:val="none"/>
          <w:lang w:val="en-US" w:eastAsia="zh-CN"/>
        </w:rPr>
        <w:t>四、报价人提供的条件</w:t>
      </w:r>
      <w:bookmarkEnd w:id="1"/>
      <w:bookmarkStart w:id="2" w:name="_Toc24663"/>
      <w:bookmarkStart w:id="3" w:name="_Toc16740"/>
      <w:bookmarkStart w:id="4" w:name="_Toc3814"/>
      <w:bookmarkStart w:id="5" w:name="_Toc11967"/>
    </w:p>
    <w:p>
      <w:pPr>
        <w:spacing w:line="360" w:lineRule="auto"/>
        <w:ind w:right="42" w:rightChars="20" w:firstLine="315" w:firstLineChars="150"/>
        <w:rPr>
          <w:rFonts w:hint="eastAsia"/>
        </w:rPr>
      </w:pPr>
      <w:r>
        <w:rPr>
          <w:rFonts w:hint="eastAsia"/>
          <w:lang w:val="en-US" w:eastAsia="zh-CN"/>
        </w:rPr>
        <w:t>4</w:t>
      </w:r>
      <w:r>
        <w:rPr>
          <w:rFonts w:hint="eastAsia"/>
        </w:rPr>
        <w:t>.</w:t>
      </w:r>
      <w:r>
        <w:rPr>
          <w:rFonts w:hint="eastAsia"/>
          <w:lang w:val="en-US" w:eastAsia="zh-CN"/>
        </w:rPr>
        <w:t>1</w:t>
      </w:r>
      <w:r>
        <w:rPr>
          <w:rFonts w:hint="eastAsia"/>
        </w:rPr>
        <w:t>.1由报价人提供</w:t>
      </w:r>
    </w:p>
    <w:p>
      <w:pPr>
        <w:spacing w:line="360" w:lineRule="auto"/>
        <w:ind w:right="42" w:rightChars="20" w:firstLine="315" w:firstLineChars="150"/>
        <w:rPr>
          <w:rFonts w:hint="eastAsia"/>
          <w:lang w:val="en-US" w:eastAsia="zh-CN"/>
        </w:rPr>
      </w:pPr>
      <w:r>
        <w:rPr>
          <w:rFonts w:hint="eastAsia"/>
        </w:rPr>
        <w:t>★</w:t>
      </w:r>
      <w:r>
        <w:rPr>
          <w:rFonts w:hint="eastAsia"/>
          <w:lang w:val="en-US" w:eastAsia="zh-CN"/>
        </w:rPr>
        <w:t>主提升绞车、提升天轮、</w:t>
      </w:r>
      <w:r>
        <w:rPr>
          <w:rFonts w:hint="eastAsia"/>
        </w:rPr>
        <w:t>运输车辆、装载机、锚杆机、搅拌机、脚手架、模板等施工用的工器具，现场管理需配置技术负责人、</w:t>
      </w:r>
      <w:r>
        <w:rPr>
          <w:rFonts w:hint="eastAsia"/>
          <w:lang w:val="en-US" w:eastAsia="zh-CN"/>
        </w:rPr>
        <w:t>测量员、</w:t>
      </w:r>
      <w:r>
        <w:rPr>
          <w:rFonts w:hint="eastAsia"/>
        </w:rPr>
        <w:t>安全员、资料员、防爆</w:t>
      </w:r>
      <w:r>
        <w:rPr>
          <w:rFonts w:hint="eastAsia"/>
          <w:lang w:val="en-US" w:eastAsia="zh-CN"/>
        </w:rPr>
        <w:t>胶轮车</w:t>
      </w:r>
      <w:r>
        <w:rPr>
          <w:rFonts w:hint="eastAsia"/>
        </w:rPr>
        <w:t>司机、防爆装载机司机、</w:t>
      </w:r>
      <w:r>
        <w:rPr>
          <w:rFonts w:hint="eastAsia"/>
          <w:lang w:val="en-US" w:eastAsia="zh-CN"/>
        </w:rPr>
        <w:t>支护工</w:t>
      </w:r>
      <w:r>
        <w:rPr>
          <w:rFonts w:hint="eastAsia"/>
        </w:rPr>
        <w:t>等，所有入井作业人员均需按照煤矿井下作业管理持相应的证件上岗，并在入井前接受采购方入井教育培训，取得入井资格证，</w:t>
      </w:r>
      <w:bookmarkStart w:id="6" w:name="_Toc10882"/>
      <w:bookmarkStart w:id="7" w:name="_Toc28492"/>
      <w:bookmarkStart w:id="8" w:name="_Toc22999"/>
      <w:bookmarkStart w:id="9" w:name="_Toc26272"/>
      <w:r>
        <w:rPr>
          <w:rFonts w:hint="eastAsia"/>
        </w:rPr>
        <w:t>具体施工时间以采购人通知为准。</w:t>
      </w:r>
      <w:bookmarkEnd w:id="6"/>
      <w:bookmarkEnd w:id="7"/>
      <w:bookmarkEnd w:id="8"/>
      <w:bookmarkEnd w:id="9"/>
      <w:r>
        <w:rPr>
          <w:rFonts w:hint="eastAsia"/>
        </w:rPr>
        <w:t>施工人员食宿自理。开工时间按照</w:t>
      </w:r>
      <w:r>
        <w:rPr>
          <w:rFonts w:hint="eastAsia"/>
          <w:lang w:val="en-US" w:eastAsia="zh-CN"/>
        </w:rPr>
        <w:t>设计</w:t>
      </w:r>
      <w:r>
        <w:rPr>
          <w:rFonts w:hint="eastAsia"/>
        </w:rPr>
        <w:t>进度确定，具体以采购方通知为准。如现场工期进度需要加快，报价人需积极配合采购方增派人员。如不服从采购人管理或不执行采购方规章制度的，采购人有权要求更换项目负责人。</w:t>
      </w:r>
    </w:p>
    <w:p>
      <w:pPr>
        <w:spacing w:line="360" w:lineRule="auto"/>
        <w:ind w:right="42" w:rightChars="20" w:firstLine="315" w:firstLineChars="150"/>
        <w:rPr>
          <w:rFonts w:hint="eastAsia"/>
        </w:rPr>
      </w:pPr>
      <w:r>
        <w:rPr>
          <w:rFonts w:hint="eastAsia"/>
          <w:lang w:val="en-US" w:eastAsia="zh-CN"/>
        </w:rPr>
        <w:t>4</w:t>
      </w:r>
      <w:r>
        <w:rPr>
          <w:rFonts w:hint="eastAsia"/>
        </w:rPr>
        <w:t>.</w:t>
      </w:r>
      <w:r>
        <w:rPr>
          <w:rFonts w:hint="eastAsia"/>
          <w:lang w:val="en-US" w:eastAsia="zh-CN"/>
        </w:rPr>
        <w:t>1</w:t>
      </w:r>
      <w:r>
        <w:rPr>
          <w:rFonts w:hint="eastAsia"/>
        </w:rPr>
        <w:t>.2防爆胶轮车司机（提升运输作业）：必须配备与入井车辆相适应的防爆胶轮车司机（提升运输作业），服务期间专职驾驶特种车辆，防爆胶轮车司机需取得煤矿从业人员培训考核合格证及</w:t>
      </w:r>
      <w:r>
        <w:rPr>
          <w:rFonts w:hint="eastAsia"/>
          <w:lang w:val="en-US" w:eastAsia="zh-CN"/>
        </w:rPr>
        <w:t>防爆胶轮车司机（提升运输作业）证</w:t>
      </w:r>
      <w:r>
        <w:rPr>
          <w:rFonts w:hint="eastAsia"/>
        </w:rPr>
        <w:t>。</w:t>
      </w:r>
    </w:p>
    <w:p>
      <w:pPr>
        <w:spacing w:line="360" w:lineRule="auto"/>
        <w:ind w:right="42" w:rightChars="20" w:firstLine="315" w:firstLineChars="150"/>
        <w:rPr>
          <w:rFonts w:hint="default"/>
          <w:lang w:val="en-US" w:eastAsia="zh-CN"/>
        </w:rPr>
      </w:pPr>
      <w:r>
        <w:rPr>
          <w:rFonts w:hint="eastAsia"/>
          <w:lang w:val="en-US" w:eastAsia="zh-CN"/>
        </w:rPr>
        <w:t>4</w:t>
      </w:r>
      <w:r>
        <w:rPr>
          <w:rFonts w:hint="eastAsia"/>
        </w:rPr>
        <w:t>.</w:t>
      </w:r>
      <w:r>
        <w:rPr>
          <w:rFonts w:hint="eastAsia"/>
          <w:lang w:val="en-US" w:eastAsia="zh-CN"/>
        </w:rPr>
        <w:t>1</w:t>
      </w:r>
      <w:r>
        <w:rPr>
          <w:rFonts w:hint="eastAsia"/>
        </w:rPr>
        <w:t>.</w:t>
      </w:r>
      <w:r>
        <w:rPr>
          <w:rFonts w:hint="eastAsia"/>
          <w:lang w:val="en-US" w:eastAsia="zh-CN"/>
        </w:rPr>
        <w:t>3绞车司机（提升运输作业）：必须配备与入井绞车相适应的绞车司机（提升运输作业），服务期间专职操作绞车，绞车司机需取得煤矿提升操作证件（特种作业操作证）。</w:t>
      </w:r>
    </w:p>
    <w:p>
      <w:pPr>
        <w:spacing w:line="360" w:lineRule="auto"/>
        <w:ind w:right="42" w:rightChars="20" w:firstLine="315" w:firstLineChars="150"/>
        <w:rPr>
          <w:rFonts w:hint="eastAsia"/>
        </w:rPr>
      </w:pPr>
      <w:r>
        <w:rPr>
          <w:rFonts w:hint="eastAsia"/>
        </w:rPr>
        <w:t>★</w:t>
      </w:r>
      <w:r>
        <w:rPr>
          <w:rFonts w:hint="eastAsia"/>
          <w:lang w:val="en-US" w:eastAsia="zh-CN"/>
        </w:rPr>
        <w:t>4.1.4</w:t>
      </w:r>
      <w:r>
        <w:rPr>
          <w:rFonts w:hint="eastAsia"/>
        </w:rPr>
        <w:t>报价人须提供满足本次服务项目的无轨胶轮车，车辆必须是经有资质单位检测合格并在有效期内（服务项目结束前必须有效）的完好车辆，需分别提供对应车辆的检测报告（在有效期内）、煤矿矿用产品安全标志证书（安全关联零部件必须与颁证信息相符）、防爆合格证、出厂合格证</w:t>
      </w:r>
      <w:r>
        <w:rPr>
          <w:rFonts w:hint="eastAsia"/>
          <w:lang w:val="en-US" w:eastAsia="zh-CN"/>
        </w:rPr>
        <w:t>等相关资料并向矿方备案，接受统一管理</w:t>
      </w:r>
      <w:r>
        <w:rPr>
          <w:rFonts w:hint="eastAsia"/>
        </w:rPr>
        <w:t>。</w:t>
      </w:r>
    </w:p>
    <w:p>
      <w:pPr>
        <w:spacing w:line="360" w:lineRule="auto"/>
        <w:ind w:right="42" w:rightChars="20" w:firstLine="315" w:firstLineChars="150"/>
        <w:rPr>
          <w:rFonts w:hint="eastAsia"/>
        </w:rPr>
      </w:pPr>
      <w:r>
        <w:rPr>
          <w:rFonts w:hint="eastAsia"/>
        </w:rPr>
        <w:t>★</w:t>
      </w:r>
      <w:r>
        <w:rPr>
          <w:rFonts w:hint="eastAsia"/>
          <w:lang w:val="en-US" w:eastAsia="zh-CN"/>
        </w:rPr>
        <w:t>4</w:t>
      </w:r>
      <w:r>
        <w:rPr>
          <w:rFonts w:hint="eastAsia"/>
        </w:rPr>
        <w:t>.</w:t>
      </w:r>
      <w:r>
        <w:rPr>
          <w:rFonts w:hint="eastAsia"/>
          <w:lang w:val="en-US" w:eastAsia="zh-CN"/>
        </w:rPr>
        <w:t>1</w:t>
      </w:r>
      <w:r>
        <w:rPr>
          <w:rFonts w:hint="eastAsia"/>
        </w:rPr>
        <w:t>.</w:t>
      </w:r>
      <w:r>
        <w:rPr>
          <w:rFonts w:hint="eastAsia"/>
          <w:lang w:val="en-US" w:eastAsia="zh-CN"/>
        </w:rPr>
        <w:t>5采购人负责提供施工用</w:t>
      </w:r>
      <w:r>
        <w:rPr>
          <w:rFonts w:hint="eastAsia"/>
        </w:rPr>
        <w:t>水</w:t>
      </w:r>
      <w:r>
        <w:rPr>
          <w:rFonts w:hint="eastAsia"/>
          <w:lang w:eastAsia="zh-CN"/>
        </w:rPr>
        <w:t>、</w:t>
      </w:r>
      <w:r>
        <w:rPr>
          <w:rFonts w:hint="eastAsia"/>
          <w:lang w:val="en-US" w:eastAsia="zh-CN"/>
        </w:rPr>
        <w:t>风、</w:t>
      </w:r>
      <w:r>
        <w:rPr>
          <w:rFonts w:hint="eastAsia"/>
        </w:rPr>
        <w:t>电</w:t>
      </w:r>
      <w:r>
        <w:rPr>
          <w:rFonts w:hint="eastAsia"/>
          <w:lang w:eastAsia="zh-CN"/>
        </w:rPr>
        <w:t>，</w:t>
      </w:r>
      <w:r>
        <w:rPr>
          <w:rFonts w:hint="eastAsia"/>
          <w:lang w:val="en-US" w:eastAsia="zh-CN"/>
        </w:rPr>
        <w:t>其它附属工程由</w:t>
      </w:r>
      <w:r>
        <w:rPr>
          <w:rFonts w:hint="eastAsia"/>
        </w:rPr>
        <w:t>报价人</w:t>
      </w:r>
      <w:r>
        <w:rPr>
          <w:rFonts w:hint="eastAsia"/>
          <w:lang w:val="en-US" w:eastAsia="zh-CN"/>
        </w:rPr>
        <w:t>自行</w:t>
      </w:r>
      <w:r>
        <w:rPr>
          <w:rFonts w:hint="eastAsia"/>
        </w:rPr>
        <w:t>实施</w:t>
      </w:r>
      <w:r>
        <w:rPr>
          <w:rFonts w:hint="eastAsia"/>
          <w:lang w:eastAsia="zh-CN"/>
        </w:rPr>
        <w:t>，</w:t>
      </w:r>
      <w:r>
        <w:rPr>
          <w:rFonts w:hint="eastAsia"/>
          <w:lang w:val="en-US" w:eastAsia="zh-CN"/>
        </w:rPr>
        <w:t>不予额外增加费用</w:t>
      </w:r>
      <w:r>
        <w:rPr>
          <w:rFonts w:hint="eastAsia"/>
        </w:rPr>
        <w:t>。</w:t>
      </w:r>
    </w:p>
    <w:p>
      <w:pPr>
        <w:spacing w:line="360" w:lineRule="auto"/>
        <w:ind w:right="42" w:rightChars="20" w:firstLine="315" w:firstLineChars="150"/>
        <w:rPr>
          <w:rFonts w:hint="eastAsia"/>
        </w:rPr>
      </w:pPr>
      <w:r>
        <w:rPr>
          <w:rFonts w:hint="eastAsia"/>
        </w:rPr>
        <w:t>★</w:t>
      </w:r>
      <w:r>
        <w:rPr>
          <w:rFonts w:hint="eastAsia"/>
          <w:lang w:val="en-US" w:eastAsia="zh-CN"/>
        </w:rPr>
        <w:t>4</w:t>
      </w:r>
      <w:r>
        <w:rPr>
          <w:rFonts w:hint="eastAsia"/>
        </w:rPr>
        <w:t>.</w:t>
      </w:r>
      <w:r>
        <w:rPr>
          <w:rFonts w:hint="eastAsia"/>
          <w:lang w:val="en-US" w:eastAsia="zh-CN"/>
        </w:rPr>
        <w:t>1</w:t>
      </w:r>
      <w:r>
        <w:rPr>
          <w:rFonts w:hint="eastAsia"/>
        </w:rPr>
        <w:t>.</w:t>
      </w:r>
      <w:r>
        <w:rPr>
          <w:rFonts w:hint="eastAsia"/>
          <w:lang w:val="en-US" w:eastAsia="zh-CN"/>
        </w:rPr>
        <w:t>6</w:t>
      </w:r>
      <w:r>
        <w:rPr>
          <w:rFonts w:hint="eastAsia"/>
        </w:rPr>
        <w:t>施工期间文明生产治理由报价人负责，费用包含在报价中。</w:t>
      </w:r>
    </w:p>
    <w:p>
      <w:pPr>
        <w:spacing w:line="360" w:lineRule="auto"/>
        <w:ind w:right="42" w:rightChars="20" w:firstLine="315" w:firstLineChars="150"/>
        <w:rPr>
          <w:rFonts w:hint="eastAsia"/>
        </w:rPr>
      </w:pPr>
      <w:r>
        <w:rPr>
          <w:rFonts w:hint="eastAsia"/>
        </w:rPr>
        <w:t>★</w:t>
      </w:r>
      <w:r>
        <w:rPr>
          <w:rFonts w:hint="eastAsia"/>
          <w:lang w:val="en-US" w:eastAsia="zh-CN"/>
        </w:rPr>
        <w:t>4</w:t>
      </w:r>
      <w:r>
        <w:rPr>
          <w:rFonts w:hint="eastAsia"/>
        </w:rPr>
        <w:t>.</w:t>
      </w:r>
      <w:r>
        <w:rPr>
          <w:rFonts w:hint="eastAsia"/>
          <w:lang w:val="en-US" w:eastAsia="zh-CN"/>
        </w:rPr>
        <w:t>1</w:t>
      </w:r>
      <w:r>
        <w:rPr>
          <w:rFonts w:hint="eastAsia"/>
        </w:rPr>
        <w:t>.</w:t>
      </w:r>
      <w:r>
        <w:rPr>
          <w:rFonts w:hint="eastAsia"/>
          <w:lang w:val="en-US" w:eastAsia="zh-CN"/>
        </w:rPr>
        <w:t>7</w:t>
      </w:r>
      <w:r>
        <w:rPr>
          <w:rFonts w:hint="eastAsia"/>
        </w:rPr>
        <w:t>生产、生活及办公设施：采购人不提供生产、生活及办公设施，由报价人自行解决，其费用已包含在报价中。</w:t>
      </w:r>
    </w:p>
    <w:p>
      <w:pPr>
        <w:spacing w:line="360" w:lineRule="auto"/>
        <w:ind w:right="42" w:rightChars="20" w:firstLine="315" w:firstLineChars="150"/>
        <w:rPr>
          <w:rFonts w:hint="eastAsia"/>
        </w:rPr>
      </w:pPr>
      <w:r>
        <w:rPr>
          <w:rFonts w:hint="eastAsia"/>
        </w:rPr>
        <w:t>★</w:t>
      </w:r>
      <w:r>
        <w:rPr>
          <w:rFonts w:hint="eastAsia"/>
          <w:lang w:val="en-US" w:eastAsia="zh-CN"/>
        </w:rPr>
        <w:t>4</w:t>
      </w:r>
      <w:r>
        <w:rPr>
          <w:rFonts w:hint="eastAsia"/>
        </w:rPr>
        <w:t>.</w:t>
      </w:r>
      <w:r>
        <w:rPr>
          <w:rFonts w:hint="eastAsia"/>
          <w:lang w:val="en-US" w:eastAsia="zh-CN"/>
        </w:rPr>
        <w:t>1</w:t>
      </w:r>
      <w:r>
        <w:rPr>
          <w:rFonts w:hint="eastAsia"/>
        </w:rPr>
        <w:t>.</w:t>
      </w:r>
      <w:r>
        <w:rPr>
          <w:rFonts w:hint="eastAsia"/>
          <w:lang w:val="en-US" w:eastAsia="zh-CN"/>
        </w:rPr>
        <w:t>8</w:t>
      </w:r>
      <w:r>
        <w:rPr>
          <w:rFonts w:hint="eastAsia"/>
        </w:rPr>
        <w:t>采购人如提供场地作为施工临时占地，报价人堆放时必须按要求堆放整齐。</w:t>
      </w:r>
      <w:r>
        <w:rPr>
          <w:rFonts w:hint="eastAsia"/>
          <w:lang w:val="en-US" w:eastAsia="zh-CN"/>
        </w:rPr>
        <w:t>在</w:t>
      </w:r>
      <w:r>
        <w:rPr>
          <w:rFonts w:hint="eastAsia"/>
        </w:rPr>
        <w:t>进行施工时，必须考虑对周边的房屋、管线（电力、通信、供水、消防等）及设施进行保护，不得损坏，否则由此产生的后果均由报价人承担。</w:t>
      </w:r>
      <w:bookmarkEnd w:id="2"/>
      <w:bookmarkEnd w:id="3"/>
      <w:bookmarkEnd w:id="4"/>
      <w:bookmarkEnd w:id="5"/>
    </w:p>
    <w:p>
      <w:pPr>
        <w:spacing w:line="360" w:lineRule="auto"/>
        <w:ind w:right="42" w:rightChars="20" w:firstLine="315" w:firstLineChars="150"/>
        <w:rPr>
          <w:rFonts w:hint="eastAsia" w:asciiTheme="minorEastAsia" w:hAnsiTheme="minorEastAsia"/>
          <w:b/>
          <w:bCs/>
          <w:szCs w:val="28"/>
          <w:highlight w:val="none"/>
          <w:lang w:val="en-US" w:eastAsia="zh-CN"/>
        </w:rPr>
      </w:pPr>
      <w:bookmarkStart w:id="10" w:name="_Toc21927"/>
      <w:r>
        <w:rPr>
          <w:rFonts w:hint="eastAsia" w:asciiTheme="minorEastAsia" w:hAnsiTheme="minorEastAsia"/>
          <w:b/>
          <w:bCs/>
          <w:szCs w:val="28"/>
          <w:highlight w:val="none"/>
          <w:lang w:val="en-US" w:eastAsia="zh-CN"/>
        </w:rPr>
        <w:t>五、技术要求</w:t>
      </w:r>
      <w:bookmarkEnd w:id="10"/>
      <w:bookmarkStart w:id="11" w:name="_Toc31126"/>
      <w:bookmarkStart w:id="12" w:name="_Toc17821"/>
      <w:bookmarkStart w:id="13" w:name="_Toc27660"/>
      <w:bookmarkStart w:id="14" w:name="_Toc6454"/>
      <w:bookmarkStart w:id="15" w:name="_Toc3338"/>
      <w:bookmarkStart w:id="16" w:name="_Toc32206"/>
      <w:bookmarkStart w:id="17" w:name="_Toc13116"/>
      <w:bookmarkStart w:id="18" w:name="_Toc31810"/>
      <w:bookmarkStart w:id="19" w:name="_Toc7707"/>
      <w:bookmarkStart w:id="20" w:name="_Toc31108"/>
    </w:p>
    <w:bookmarkEnd w:id="11"/>
    <w:bookmarkEnd w:id="12"/>
    <w:bookmarkEnd w:id="13"/>
    <w:bookmarkEnd w:id="14"/>
    <w:bookmarkEnd w:id="15"/>
    <w:bookmarkEnd w:id="16"/>
    <w:bookmarkEnd w:id="17"/>
    <w:bookmarkEnd w:id="18"/>
    <w:bookmarkEnd w:id="19"/>
    <w:bookmarkEnd w:id="20"/>
    <w:p>
      <w:pPr>
        <w:spacing w:line="360" w:lineRule="auto"/>
        <w:ind w:right="42" w:rightChars="20" w:firstLine="315" w:firstLineChars="150"/>
        <w:rPr>
          <w:rFonts w:hint="eastAsia"/>
          <w:lang w:val="en-US" w:eastAsia="zh-CN"/>
        </w:rPr>
      </w:pPr>
      <w:bookmarkStart w:id="21" w:name="_Toc18852"/>
      <w:bookmarkStart w:id="22" w:name="_Toc19735_WPSOffice_Level2"/>
      <w:bookmarkStart w:id="23" w:name="_Toc21754"/>
      <w:r>
        <w:rPr>
          <w:rFonts w:hint="eastAsia"/>
          <w:lang w:val="en-US" w:eastAsia="zh-CN"/>
        </w:rPr>
        <w:t>5.1.1</w:t>
      </w:r>
      <w:bookmarkEnd w:id="21"/>
      <w:bookmarkEnd w:id="22"/>
      <w:bookmarkEnd w:id="23"/>
      <w:r>
        <w:rPr>
          <w:rFonts w:hint="eastAsia"/>
          <w:lang w:val="en-US" w:eastAsia="zh-CN"/>
        </w:rPr>
        <w:t>必须将审批后的图纸制作成牌板，悬挂于施工地点指导施工人员对标施工。</w:t>
      </w:r>
    </w:p>
    <w:p>
      <w:pPr>
        <w:spacing w:line="360" w:lineRule="auto"/>
        <w:ind w:right="42" w:rightChars="20" w:firstLine="315" w:firstLineChars="150"/>
        <w:rPr>
          <w:rFonts w:hint="eastAsia"/>
          <w:lang w:val="en-US" w:eastAsia="zh-CN"/>
        </w:rPr>
      </w:pPr>
      <w:bookmarkStart w:id="24" w:name="_Toc2716"/>
      <w:bookmarkStart w:id="25" w:name="_Toc24435_WPSOffice_Level2"/>
      <w:bookmarkStart w:id="26" w:name="_Toc1755"/>
      <w:r>
        <w:rPr>
          <w:rFonts w:hint="eastAsia"/>
        </w:rPr>
        <w:t>★</w:t>
      </w:r>
      <w:r>
        <w:rPr>
          <w:rFonts w:hint="eastAsia"/>
          <w:lang w:val="en-US" w:eastAsia="zh-CN"/>
        </w:rPr>
        <w:t>5.1.2</w:t>
      </w:r>
      <w:bookmarkEnd w:id="24"/>
      <w:bookmarkEnd w:id="25"/>
      <w:bookmarkEnd w:id="26"/>
      <w:r>
        <w:rPr>
          <w:rFonts w:hint="eastAsia"/>
          <w:lang w:val="en-US" w:eastAsia="zh-CN"/>
        </w:rPr>
        <w:t>报价人负责编制施工组织设计、作业规程及各项安全技术措施，内审完成后，报采购人审批，按照审批后的作业规程，现场标定出溜煤眼十字中心线及上、下硐室的中腰线；</w:t>
      </w:r>
    </w:p>
    <w:p>
      <w:pPr>
        <w:spacing w:line="360" w:lineRule="auto"/>
        <w:ind w:right="42" w:rightChars="20" w:firstLine="315" w:firstLineChars="150"/>
        <w:rPr>
          <w:rFonts w:hint="eastAsia"/>
          <w:lang w:val="en-US" w:eastAsia="zh-CN"/>
        </w:rPr>
      </w:pPr>
      <w:r>
        <w:rPr>
          <w:rFonts w:hint="eastAsia"/>
          <w:lang w:val="en-US" w:eastAsia="zh-CN"/>
        </w:rPr>
        <w:t>5.1.3 报价人负责将压风、供水管路及供电线路引至施工现场；</w:t>
      </w:r>
    </w:p>
    <w:p>
      <w:pPr>
        <w:spacing w:line="360" w:lineRule="auto"/>
        <w:ind w:right="42" w:rightChars="20" w:firstLine="315" w:firstLineChars="150"/>
        <w:rPr>
          <w:rFonts w:hint="default"/>
          <w:lang w:val="en-US" w:eastAsia="zh-CN"/>
        </w:rPr>
      </w:pPr>
      <w:r>
        <w:rPr>
          <w:rFonts w:hint="eastAsia"/>
          <w:lang w:val="en-US" w:eastAsia="zh-CN"/>
        </w:rPr>
        <w:t>5.1.4 报价人负责主提升绞车、导向轮的安装，要求绞车安装位置合理、保护齐全、信号灵敏可靠、提升能力满足要求。要求绞车安装于混凝土基础上，地锚螺栓紧固有效。绞车配备专职司机，且持提升运输作业证上岗。</w:t>
      </w:r>
    </w:p>
    <w:p>
      <w:pPr>
        <w:spacing w:line="360" w:lineRule="auto"/>
        <w:ind w:right="42" w:rightChars="20" w:firstLine="315" w:firstLineChars="150"/>
        <w:rPr>
          <w:rFonts w:hint="eastAsia"/>
          <w:lang w:val="en-US" w:eastAsia="zh-CN"/>
        </w:rPr>
      </w:pPr>
      <w:r>
        <w:rPr>
          <w:rFonts w:hint="eastAsia"/>
          <w:lang w:val="en-US" w:eastAsia="zh-CN"/>
        </w:rPr>
        <w:t>5.1.5 报价人负责钻机基础掘砌，浇筑时在中部留200mm×200mm的水沟，起吊锚杆、锚索及固定基座的地锚均为自行安装。</w:t>
      </w:r>
    </w:p>
    <w:p>
      <w:pPr>
        <w:spacing w:line="360" w:lineRule="auto"/>
        <w:ind w:right="42" w:rightChars="20" w:firstLine="315" w:firstLineChars="150"/>
        <w:rPr>
          <w:rFonts w:hint="eastAsia"/>
          <w:lang w:val="en-US" w:eastAsia="zh-CN"/>
        </w:rPr>
      </w:pPr>
      <w:r>
        <w:rPr>
          <w:rFonts w:hint="eastAsia"/>
          <w:lang w:val="en-US" w:eastAsia="zh-CN"/>
        </w:rPr>
        <w:t>5.1.6 溜煤眼上口破碎机设备由采购人提供，设备基础开挖及浇筑、硐室掘砌、破碎机安装等均由报价人按设计图纸施工并安装。</w:t>
      </w:r>
    </w:p>
    <w:p>
      <w:pPr>
        <w:spacing w:line="360" w:lineRule="auto"/>
        <w:ind w:right="42" w:rightChars="20" w:firstLine="315" w:firstLineChars="150"/>
        <w:rPr>
          <w:rFonts w:hint="default"/>
          <w:lang w:val="en-US" w:eastAsia="zh-CN"/>
        </w:rPr>
      </w:pPr>
      <w:r>
        <w:rPr>
          <w:rFonts w:hint="eastAsia"/>
          <w:lang w:val="en-US" w:eastAsia="zh-CN"/>
        </w:rPr>
        <w:t>5.1.7 报价人负责溜煤眼下口给煤机加固、给煤机平台制作及安装、溜槽加工及安装等严格按设计进行，并按照设计给定的中线、腰线施工，施工现场放线由报价人负责。</w:t>
      </w:r>
    </w:p>
    <w:p>
      <w:pPr>
        <w:spacing w:line="360" w:lineRule="auto"/>
        <w:ind w:right="42" w:rightChars="20" w:firstLine="315" w:firstLineChars="150"/>
        <w:rPr>
          <w:rFonts w:hint="eastAsia"/>
          <w:lang w:val="en-US" w:eastAsia="zh-CN"/>
        </w:rPr>
      </w:pPr>
      <w:r>
        <w:rPr>
          <w:rFonts w:hint="eastAsia"/>
          <w:lang w:val="en-US" w:eastAsia="zh-CN"/>
        </w:rPr>
        <w:t>5.1.8 报价人施工过程中遇褶曲、断层等构造位置时，及时编制过构造（断层）安全技术措施，加强断层等构造处支护，确保安全。</w:t>
      </w:r>
    </w:p>
    <w:p>
      <w:pPr>
        <w:spacing w:line="360" w:lineRule="auto"/>
        <w:ind w:right="42" w:rightChars="20" w:firstLine="315" w:firstLineChars="150"/>
        <w:rPr>
          <w:rFonts w:hint="default"/>
          <w:lang w:val="en-US" w:eastAsia="zh-CN"/>
        </w:rPr>
      </w:pPr>
      <w:r>
        <w:rPr>
          <w:rFonts w:hint="eastAsia"/>
        </w:rPr>
        <w:t>★</w:t>
      </w:r>
      <w:r>
        <w:rPr>
          <w:rFonts w:hint="eastAsia"/>
          <w:lang w:val="en-US" w:eastAsia="zh-CN"/>
        </w:rPr>
        <w:t>5.1.9 空气炮由报价人负责提供、安装，空气炮要求具有煤安证，通风、电缆管道均由报价人提供、安装。空气炮等入场前需经过采购人验收。</w:t>
      </w:r>
    </w:p>
    <w:p>
      <w:pPr>
        <w:spacing w:line="360" w:lineRule="auto"/>
        <w:ind w:right="42" w:rightChars="20" w:firstLine="315" w:firstLineChars="150"/>
        <w:rPr>
          <w:rFonts w:hint="eastAsia"/>
          <w:lang w:val="en-US" w:eastAsia="zh-CN"/>
        </w:rPr>
      </w:pPr>
      <w:r>
        <w:rPr>
          <w:rFonts w:hint="eastAsia"/>
        </w:rPr>
        <w:t>★</w:t>
      </w:r>
      <w:r>
        <w:rPr>
          <w:rFonts w:hint="eastAsia"/>
          <w:lang w:val="en-US" w:eastAsia="zh-CN"/>
        </w:rPr>
        <w:t>5.1.10开工前，报价人必须确保掘进、支护、浇筑、运输、排水、测量等设备设施齐全可靠。严禁因设备故障造成施工进度延迟或工程质量不达标等问题。</w:t>
      </w:r>
    </w:p>
    <w:p>
      <w:pPr>
        <w:spacing w:line="360" w:lineRule="auto"/>
        <w:ind w:right="42" w:rightChars="20" w:firstLine="315" w:firstLineChars="150"/>
        <w:rPr>
          <w:rFonts w:hint="eastAsia"/>
          <w:lang w:val="en-US" w:eastAsia="zh-CN"/>
        </w:rPr>
      </w:pPr>
      <w:r>
        <w:rPr>
          <w:rFonts w:hint="eastAsia"/>
        </w:rPr>
        <w:t>★</w:t>
      </w:r>
      <w:r>
        <w:rPr>
          <w:rFonts w:hint="eastAsia"/>
          <w:lang w:val="en-US" w:eastAsia="zh-CN"/>
        </w:rPr>
        <w:t>5.1.11砼采用地面搅拌站的商砼，通过无轨胶轮车运至砼输送泵，再经过输料管进行浇筑。</w:t>
      </w:r>
    </w:p>
    <w:p>
      <w:pPr>
        <w:spacing w:line="360" w:lineRule="auto"/>
        <w:ind w:right="42" w:rightChars="20" w:firstLine="315" w:firstLineChars="150"/>
        <w:rPr>
          <w:rFonts w:hint="eastAsia"/>
          <w:lang w:val="en-US" w:eastAsia="zh-CN"/>
        </w:rPr>
      </w:pPr>
      <w:r>
        <w:rPr>
          <w:rFonts w:hint="eastAsia"/>
        </w:rPr>
        <w:t>★</w:t>
      </w:r>
      <w:r>
        <w:rPr>
          <w:rFonts w:hint="eastAsia"/>
          <w:lang w:val="en-US" w:eastAsia="zh-CN"/>
        </w:rPr>
        <w:t>5.1.12</w:t>
      </w:r>
      <w:r>
        <w:rPr>
          <w:rFonts w:hint="eastAsia"/>
          <w:lang w:val="zh-CN" w:eastAsia="zh-CN"/>
        </w:rPr>
        <w:t>各种模板、碹胎的材质、结构、规格、强度必须符合设计要求。模板组装和碹胎架设必须牢固可靠，其支柱必须安设在硬底或垫板上。模板必须清理干净并刷油，变形的模板不得使用，</w:t>
      </w:r>
      <w:r>
        <w:rPr>
          <w:rFonts w:hint="eastAsia"/>
          <w:lang w:val="en-US" w:eastAsia="zh-CN"/>
        </w:rPr>
        <w:t>模板工程经验收合格后，方可进行混凝土工程施工，施工完毕后，模版由报价人及时回收。</w:t>
      </w:r>
    </w:p>
    <w:p>
      <w:pPr>
        <w:spacing w:line="360" w:lineRule="auto"/>
        <w:ind w:right="42" w:rightChars="20" w:firstLine="315" w:firstLineChars="150"/>
        <w:rPr>
          <w:rFonts w:hint="eastAsia"/>
          <w:lang w:val="zh-CN" w:eastAsia="zh-CN"/>
        </w:rPr>
      </w:pPr>
      <w:r>
        <w:rPr>
          <w:rFonts w:hint="eastAsia"/>
          <w:lang w:val="en-US" w:eastAsia="zh-CN"/>
        </w:rPr>
        <w:t>5.1.13</w:t>
      </w:r>
      <w:r>
        <w:rPr>
          <w:rFonts w:hint="eastAsia"/>
          <w:lang w:val="zh-CN" w:eastAsia="zh-CN"/>
        </w:rPr>
        <w:t>搅拌好的混凝土运输途中严禁跑浆，要及时进行浇筑，放入模板后采用振动器进行捣振，操作捣振器要快，插点要均匀排列，要掌握好振动作用的半径，防止漏振，防止出现蜂窝麻面。</w:t>
      </w:r>
    </w:p>
    <w:p>
      <w:pPr>
        <w:spacing w:line="360" w:lineRule="auto"/>
        <w:ind w:right="42" w:rightChars="20" w:firstLine="315" w:firstLineChars="150"/>
        <w:rPr>
          <w:rFonts w:hint="eastAsia"/>
          <w:lang w:val="zh-CN" w:eastAsia="zh-CN"/>
        </w:rPr>
      </w:pPr>
      <w:r>
        <w:rPr>
          <w:rFonts w:hint="eastAsia"/>
          <w:lang w:val="en-US" w:eastAsia="zh-CN"/>
        </w:rPr>
        <w:t>5.1.14砼浇注分段进行，浇砼应连续进行，间歇时间不得超过2小时，超过2小时时，每段浇注后搭接部位要用风镐刷成毛面，然后再搭接浇筑，采用震捣器捣固砼，捣固工作设专人负责，震捣棒插入下层砼中50-100mm，每次移动距离350mm,震捣砼表面出浆，无气泡上浮为止。浇筑</w:t>
      </w:r>
      <w:r>
        <w:rPr>
          <w:rFonts w:hint="eastAsia"/>
          <w:lang w:val="zh-CN" w:eastAsia="zh-CN"/>
        </w:rPr>
        <w:t>后坚持每班洒水养护，养护时间不得低于72小时。</w:t>
      </w:r>
    </w:p>
    <w:p>
      <w:pPr>
        <w:spacing w:line="360" w:lineRule="auto"/>
        <w:ind w:right="42" w:rightChars="20" w:firstLine="315" w:firstLineChars="150"/>
        <w:rPr>
          <w:rFonts w:hint="eastAsia"/>
          <w:lang w:val="en-US" w:eastAsia="zh-CN"/>
        </w:rPr>
      </w:pPr>
      <w:r>
        <w:rPr>
          <w:rFonts w:hint="eastAsia"/>
        </w:rPr>
        <w:t>★</w:t>
      </w:r>
      <w:r>
        <w:rPr>
          <w:rFonts w:hint="eastAsia"/>
          <w:lang w:val="en-US" w:eastAsia="zh-CN"/>
        </w:rPr>
        <w:t>5.1.15井下所有混凝土浇筑所用的水泥、骨料、外加剂等原材料质量必须符合设计要求。每批原材料进场后，由采购方和报价人共同进行抽样检验并送检（检测单位由采购人指定），经检验合格后，方准投入使用，原材料出厂合格证、抽样检验报告等原件交生产技术部存档一份。审批开工报告时，需提交有资质实验室出具的混凝土配合比报告。施工过程中，原材料变更，需重新做配合比试验。</w:t>
      </w:r>
    </w:p>
    <w:p>
      <w:pPr>
        <w:spacing w:line="360" w:lineRule="auto"/>
        <w:ind w:right="42" w:rightChars="20" w:firstLine="315" w:firstLineChars="150"/>
        <w:rPr>
          <w:rFonts w:hint="eastAsia"/>
          <w:lang w:val="en-US" w:eastAsia="zh-CN"/>
        </w:rPr>
      </w:pPr>
      <w:r>
        <w:rPr>
          <w:rFonts w:hint="eastAsia"/>
          <w:lang w:val="en-US" w:eastAsia="zh-CN"/>
        </w:rPr>
        <w:t>5.1.16砌碹工程，每浇筑100m</w:t>
      </w:r>
      <w:r>
        <w:rPr>
          <w:rFonts w:hint="default" w:asciiTheme="minorAscii" w:hAnsiTheme="minorAscii" w:eastAsiaTheme="minorEastAsia"/>
          <w:sz w:val="21"/>
          <w:vertAlign w:val="superscript"/>
          <w:lang w:val="en-US" w:eastAsia="zh-CN"/>
        </w:rPr>
        <w:t>3</w:t>
      </w:r>
      <w:r>
        <w:rPr>
          <w:rFonts w:hint="eastAsia"/>
          <w:lang w:val="en-US" w:eastAsia="zh-CN"/>
        </w:rPr>
        <w:t>试块不得少于一组，每组3块，不足或超出的部分按100m</w:t>
      </w:r>
      <w:r>
        <w:rPr>
          <w:rFonts w:hint="eastAsia"/>
          <w:vertAlign w:val="superscript"/>
          <w:lang w:val="en-US" w:eastAsia="zh-CN"/>
        </w:rPr>
        <w:t>3</w:t>
      </w:r>
      <w:r>
        <w:rPr>
          <w:rFonts w:hint="eastAsia"/>
          <w:lang w:val="en-US" w:eastAsia="zh-CN"/>
        </w:rPr>
        <w:t>计算。</w:t>
      </w:r>
    </w:p>
    <w:p>
      <w:pPr>
        <w:spacing w:line="360" w:lineRule="auto"/>
        <w:ind w:right="42" w:rightChars="20" w:firstLine="315" w:firstLineChars="150"/>
        <w:rPr>
          <w:rFonts w:hint="eastAsia"/>
          <w:lang w:val="en-US" w:eastAsia="zh-CN"/>
        </w:rPr>
      </w:pPr>
      <w:r>
        <w:rPr>
          <w:rFonts w:hint="eastAsia"/>
          <w:lang w:val="en-US" w:eastAsia="zh-CN"/>
        </w:rPr>
        <w:t>5.1.17所有试块制作过程中表面必须抹平，必须配备标养箱，并在标准条件下养护28天后送检。</w:t>
      </w:r>
    </w:p>
    <w:p>
      <w:pPr>
        <w:spacing w:line="360" w:lineRule="auto"/>
        <w:ind w:right="42" w:rightChars="20" w:firstLine="315" w:firstLineChars="150"/>
        <w:rPr>
          <w:rFonts w:hint="eastAsia"/>
          <w:lang w:val="en-US" w:eastAsia="zh-CN"/>
        </w:rPr>
      </w:pPr>
      <w:r>
        <w:rPr>
          <w:rFonts w:hint="eastAsia"/>
          <w:lang w:val="en-US" w:eastAsia="zh-CN"/>
        </w:rPr>
        <w:t>5.1.18试件的送检过程中，必须由采购方跟踪见证，检验报告送采购方存档。</w:t>
      </w:r>
    </w:p>
    <w:p>
      <w:pPr>
        <w:spacing w:line="360" w:lineRule="auto"/>
        <w:ind w:right="42" w:rightChars="20" w:firstLine="315" w:firstLineChars="150"/>
        <w:rPr>
          <w:rFonts w:hint="eastAsia"/>
          <w:lang w:val="en-US" w:eastAsia="zh-CN"/>
        </w:rPr>
      </w:pPr>
      <w:r>
        <w:rPr>
          <w:rFonts w:hint="eastAsia"/>
          <w:lang w:val="en-US" w:eastAsia="zh-CN"/>
        </w:rPr>
        <w:t>5.1.16浇筑墙体要平整、无裂缝和空隙。</w:t>
      </w:r>
    </w:p>
    <w:p>
      <w:pPr>
        <w:spacing w:line="360" w:lineRule="auto"/>
        <w:ind w:right="42" w:rightChars="20" w:firstLine="420" w:firstLineChars="200"/>
        <w:rPr>
          <w:rFonts w:hint="eastAsia" w:asciiTheme="minorEastAsia" w:hAnsiTheme="minorEastAsia"/>
          <w:b/>
          <w:bCs/>
          <w:szCs w:val="28"/>
          <w:highlight w:val="none"/>
          <w:lang w:val="en-US" w:eastAsia="zh-CN"/>
        </w:rPr>
      </w:pPr>
      <w:bookmarkStart w:id="27" w:name="_Toc11732"/>
      <w:r>
        <w:rPr>
          <w:rFonts w:hint="eastAsia" w:asciiTheme="minorEastAsia" w:hAnsiTheme="minorEastAsia"/>
          <w:b/>
          <w:bCs/>
          <w:szCs w:val="28"/>
          <w:highlight w:val="none"/>
          <w:lang w:val="en-US" w:eastAsia="zh-CN"/>
        </w:rPr>
        <w:t>六、质量管理与考评</w:t>
      </w:r>
      <w:bookmarkEnd w:id="27"/>
    </w:p>
    <w:p>
      <w:pPr>
        <w:spacing w:line="360" w:lineRule="auto"/>
        <w:ind w:right="42" w:rightChars="20" w:firstLine="315" w:firstLineChars="150"/>
        <w:rPr>
          <w:rFonts w:hint="eastAsia"/>
          <w:lang w:val="en-US" w:eastAsia="zh-CN"/>
        </w:rPr>
      </w:pPr>
      <w:bookmarkStart w:id="28" w:name="_Toc16720"/>
      <w:bookmarkStart w:id="29" w:name="_Toc20864"/>
      <w:bookmarkStart w:id="30" w:name="_Toc5818"/>
      <w:bookmarkStart w:id="31" w:name="_Toc1881"/>
      <w:bookmarkStart w:id="32" w:name="_Toc14228"/>
      <w:bookmarkStart w:id="33" w:name="_Toc447097850"/>
      <w:bookmarkStart w:id="34" w:name="_Toc334104440"/>
      <w:bookmarkStart w:id="35" w:name="_Toc18011"/>
      <w:bookmarkStart w:id="36" w:name="_Toc14078"/>
      <w:bookmarkStart w:id="37" w:name="_Toc9434"/>
      <w:r>
        <w:rPr>
          <w:rFonts w:hint="eastAsia"/>
        </w:rPr>
        <w:t>★</w:t>
      </w:r>
      <w:r>
        <w:rPr>
          <w:rFonts w:hint="eastAsia"/>
          <w:lang w:val="en-US" w:eastAsia="zh-CN"/>
        </w:rPr>
        <w:t>6.1.1.1除破碎机外，本工程所涉及的所有施工及安装材料为报价人提供。</w:t>
      </w:r>
    </w:p>
    <w:p>
      <w:pPr>
        <w:spacing w:line="360" w:lineRule="auto"/>
        <w:ind w:right="42" w:rightChars="20" w:firstLine="315" w:firstLineChars="150"/>
        <w:rPr>
          <w:rFonts w:hint="eastAsia"/>
          <w:lang w:val="en-US" w:eastAsia="zh-CN"/>
        </w:rPr>
      </w:pPr>
      <w:r>
        <w:rPr>
          <w:rFonts w:hint="eastAsia"/>
          <w:lang w:val="en-US" w:eastAsia="zh-CN"/>
        </w:rPr>
        <w:t>6.1.1.2报价人用于本工程的材料必须具有第三方检验报告，报价人应做好材料自查验收工作，采购人有权对材料进行抽检。</w:t>
      </w:r>
    </w:p>
    <w:p>
      <w:pPr>
        <w:spacing w:line="360" w:lineRule="auto"/>
        <w:ind w:right="42" w:rightChars="20" w:firstLine="315" w:firstLineChars="150"/>
        <w:rPr>
          <w:rFonts w:hint="eastAsia"/>
          <w:lang w:val="en-US" w:eastAsia="zh-CN"/>
        </w:rPr>
      </w:pPr>
      <w:r>
        <w:rPr>
          <w:rFonts w:hint="eastAsia"/>
          <w:lang w:val="en-US" w:eastAsia="zh-CN"/>
        </w:rPr>
        <w:t>6.1.1.3报价人提供的用于本项目的材料必须为同一来源，不得随意更换。若确需更换，需报采购人同意，并经检验出具相应报告后实施。</w:t>
      </w:r>
    </w:p>
    <w:bookmarkEnd w:id="28"/>
    <w:bookmarkEnd w:id="29"/>
    <w:bookmarkEnd w:id="30"/>
    <w:bookmarkEnd w:id="31"/>
    <w:p>
      <w:pPr>
        <w:spacing w:line="360" w:lineRule="auto"/>
        <w:ind w:right="42" w:rightChars="20" w:firstLine="315" w:firstLineChars="150"/>
        <w:rPr>
          <w:rFonts w:hint="eastAsia"/>
          <w:lang w:val="en-US" w:eastAsia="zh-CN"/>
        </w:rPr>
      </w:pPr>
      <w:r>
        <w:rPr>
          <w:rFonts w:hint="eastAsia"/>
          <w:lang w:val="en-US" w:eastAsia="zh-CN"/>
        </w:rPr>
        <w:t>6.1.1.4报价人负责施工所需的工器具（包括但不限于绞车、防爆装载机、防爆运输车辆、锚杆机、脚手架、模板等）。</w:t>
      </w:r>
    </w:p>
    <w:p>
      <w:pPr>
        <w:spacing w:line="360" w:lineRule="auto"/>
        <w:ind w:right="42" w:rightChars="20" w:firstLine="315" w:firstLineChars="150"/>
        <w:rPr>
          <w:rFonts w:hint="default"/>
          <w:lang w:val="en-US" w:eastAsia="zh-CN"/>
        </w:rPr>
      </w:pPr>
      <w:r>
        <w:rPr>
          <w:rFonts w:hint="eastAsia"/>
          <w:lang w:val="en-US" w:eastAsia="zh-CN"/>
        </w:rPr>
        <w:t>6.1.1.5 报价人负责所有预埋件、给煤机溜槽、给煤机平台等配件的加工与安装。</w:t>
      </w:r>
    </w:p>
    <w:p>
      <w:pPr>
        <w:spacing w:line="360" w:lineRule="auto"/>
        <w:ind w:right="42" w:rightChars="20" w:firstLine="315" w:firstLineChars="150"/>
        <w:rPr>
          <w:rFonts w:hint="eastAsia"/>
          <w:lang w:val="en-US" w:eastAsia="zh-CN"/>
        </w:rPr>
      </w:pPr>
      <w:r>
        <w:rPr>
          <w:rFonts w:hint="eastAsia"/>
          <w:lang w:val="en-US" w:eastAsia="zh-CN"/>
        </w:rPr>
        <w:t>6.1.1.6报价人负责提供施工所需劳动防护用品。</w:t>
      </w:r>
    </w:p>
    <w:p>
      <w:pPr>
        <w:spacing w:line="360" w:lineRule="auto"/>
        <w:ind w:right="42" w:rightChars="20" w:firstLine="315" w:firstLineChars="150"/>
        <w:rPr>
          <w:rFonts w:hint="eastAsia"/>
          <w:lang w:val="en-US" w:eastAsia="zh-CN"/>
        </w:rPr>
      </w:pPr>
      <w:r>
        <w:rPr>
          <w:rFonts w:hint="eastAsia"/>
          <w:lang w:val="en-US" w:eastAsia="zh-CN"/>
        </w:rPr>
        <w:t>6.1.1.7施工的脚手架由报价方负责搭设，架子要横平竖直，脚手架要摆放整齐，搭设完毕后经过验收合格后方可使用。</w:t>
      </w:r>
    </w:p>
    <w:p>
      <w:pPr>
        <w:spacing w:line="360" w:lineRule="auto"/>
        <w:ind w:right="42" w:rightChars="20" w:firstLine="315" w:firstLineChars="150"/>
        <w:rPr>
          <w:rFonts w:hint="eastAsia"/>
          <w:lang w:val="en-US" w:eastAsia="zh-CN"/>
        </w:rPr>
      </w:pPr>
      <w:r>
        <w:rPr>
          <w:rFonts w:hint="eastAsia"/>
          <w:lang w:val="en-US" w:eastAsia="zh-CN"/>
        </w:rPr>
        <w:t>6.1.1.8报价人所有参与施工人员必须服从采购人管理，严格完成采购人交代的工作任务，如不能完成，提前说明原因，并进行协商，否则给予相应的考核，态度恶劣、不服从管理的施工人员，采购人有权要求更换人员。</w:t>
      </w:r>
    </w:p>
    <w:p>
      <w:pPr>
        <w:spacing w:line="360" w:lineRule="auto"/>
        <w:ind w:right="42" w:rightChars="20" w:firstLine="315" w:firstLineChars="150"/>
        <w:rPr>
          <w:rFonts w:hint="eastAsia"/>
          <w:lang w:val="en-US" w:eastAsia="zh-CN"/>
        </w:rPr>
      </w:pPr>
      <w:bookmarkStart w:id="38" w:name="_Toc16176"/>
      <w:bookmarkStart w:id="39" w:name="_Toc1152_WPSOffice_Level2"/>
      <w:bookmarkStart w:id="40" w:name="_Toc31552"/>
      <w:bookmarkStart w:id="41" w:name="_Toc131"/>
      <w:bookmarkStart w:id="42" w:name="_Toc19719"/>
      <w:bookmarkStart w:id="43" w:name="_Toc6830"/>
      <w:bookmarkStart w:id="44" w:name="_Toc19427"/>
      <w:bookmarkStart w:id="45" w:name="_Toc15504"/>
      <w:bookmarkStart w:id="46" w:name="_Toc28935"/>
      <w:bookmarkStart w:id="47" w:name="_Toc18186"/>
      <w:bookmarkStart w:id="48" w:name="_Toc26367"/>
      <w:bookmarkStart w:id="49" w:name="_Toc10388"/>
      <w:bookmarkStart w:id="50" w:name="_Toc14970"/>
      <w:bookmarkStart w:id="51" w:name="_Toc17605"/>
      <w:bookmarkStart w:id="52" w:name="_Toc21356"/>
      <w:r>
        <w:rPr>
          <w:rFonts w:hint="eastAsia"/>
        </w:rPr>
        <w:t>★</w:t>
      </w:r>
      <w:r>
        <w:rPr>
          <w:rFonts w:hint="eastAsia"/>
          <w:lang w:val="en-US" w:eastAsia="zh-CN"/>
        </w:rPr>
        <w:t>6.1.1.9报价人应进行材料检验，并根据采购人需要提供必要的检验报告和原始记录。采购人有权对全部工程内容及其材料进行检查和检验，报价人应为采购人的检查和检验提供方便。</w:t>
      </w:r>
    </w:p>
    <w:p>
      <w:pPr>
        <w:spacing w:line="360" w:lineRule="auto"/>
        <w:ind w:right="42" w:rightChars="20" w:firstLine="315" w:firstLineChars="150"/>
        <w:rPr>
          <w:rFonts w:hint="eastAsia"/>
          <w:lang w:val="en-US" w:eastAsia="zh-CN"/>
        </w:rPr>
      </w:pPr>
      <w:r>
        <w:rPr>
          <w:rFonts w:hint="eastAsia"/>
          <w:lang w:val="en-US" w:eastAsia="zh-CN"/>
        </w:rPr>
        <w:t>6.1.1.10报价人在采用新材料、新设备、新工艺、新技术时，应先向采购人提供相关有效证明资料，征得采购人的同意后方能实施。</w:t>
      </w:r>
    </w:p>
    <w:p>
      <w:pPr>
        <w:spacing w:line="360" w:lineRule="auto"/>
        <w:ind w:right="42" w:rightChars="20" w:firstLine="315" w:firstLineChars="150"/>
        <w:rPr>
          <w:rFonts w:hint="eastAsia"/>
          <w:lang w:val="en-US" w:eastAsia="zh-CN"/>
        </w:rPr>
      </w:pPr>
      <w:r>
        <w:rPr>
          <w:rFonts w:hint="eastAsia"/>
        </w:rPr>
        <w:t>★</w:t>
      </w:r>
      <w:r>
        <w:rPr>
          <w:rFonts w:hint="eastAsia"/>
          <w:lang w:val="en-US" w:eastAsia="zh-CN"/>
        </w:rPr>
        <w:t>6.1.1.11施工中，报价人每一项施工任务应自检合格，自检记录齐全，向采购人提交验收申请。</w:t>
      </w:r>
    </w:p>
    <w:p>
      <w:pPr>
        <w:spacing w:line="360" w:lineRule="auto"/>
        <w:ind w:right="42" w:rightChars="20" w:firstLine="315" w:firstLineChars="150"/>
        <w:rPr>
          <w:rFonts w:hint="eastAsia"/>
          <w:lang w:val="en-US" w:eastAsia="zh-CN"/>
        </w:rPr>
      </w:pPr>
      <w:r>
        <w:rPr>
          <w:rFonts w:hint="eastAsia"/>
        </w:rPr>
        <w:t>★</w:t>
      </w:r>
      <w:r>
        <w:rPr>
          <w:rFonts w:hint="eastAsia"/>
          <w:lang w:val="en-US" w:eastAsia="zh-CN"/>
        </w:rPr>
        <w:t>6.1.1.12采购人派人跟踪施工全过程，施工过程中，每一步工作必须经采购人现场确认后方可进入下一道工序，否则视为无效工作。</w:t>
      </w:r>
    </w:p>
    <w:p>
      <w:pPr>
        <w:spacing w:line="360" w:lineRule="auto"/>
        <w:ind w:right="42" w:rightChars="20" w:firstLine="315" w:firstLineChars="150"/>
        <w:rPr>
          <w:rFonts w:hint="eastAsia"/>
          <w:lang w:val="en-US" w:eastAsia="zh-CN"/>
        </w:rPr>
      </w:pPr>
      <w:r>
        <w:rPr>
          <w:rFonts w:hint="eastAsia"/>
        </w:rPr>
        <w:t>★</w:t>
      </w:r>
      <w:r>
        <w:rPr>
          <w:rFonts w:hint="eastAsia"/>
          <w:lang w:val="en-US" w:eastAsia="zh-CN"/>
        </w:rPr>
        <w:t>6.1.1.13验收前，报价人应自检合格，自检记录齐全，向采购人提交验收申请。</w:t>
      </w:r>
    </w:p>
    <w:p>
      <w:pPr>
        <w:spacing w:line="360" w:lineRule="auto"/>
        <w:ind w:right="42" w:rightChars="20" w:firstLine="315" w:firstLineChars="150"/>
        <w:rPr>
          <w:rFonts w:hint="eastAsia"/>
          <w:lang w:val="en-US" w:eastAsia="zh-CN"/>
        </w:rPr>
      </w:pPr>
      <w:r>
        <w:rPr>
          <w:rFonts w:hint="eastAsia"/>
          <w:lang w:val="en-US" w:eastAsia="zh-CN"/>
        </w:rPr>
        <w:t>6.1.1.14验收前，如有必要进行验收试验的，报价人必须提供必要的试验手段，并按要求完成相应的工作。如试验结果不满足规范及技术要求，由报价人进行整改，直至合格。</w:t>
      </w:r>
    </w:p>
    <w:p>
      <w:pPr>
        <w:spacing w:line="360" w:lineRule="auto"/>
        <w:ind w:right="42" w:rightChars="20" w:firstLine="315" w:firstLineChars="150"/>
        <w:rPr>
          <w:rFonts w:hint="eastAsia"/>
          <w:lang w:val="en-US" w:eastAsia="zh-CN"/>
        </w:rPr>
      </w:pPr>
      <w:r>
        <w:rPr>
          <w:rFonts w:hint="eastAsia"/>
        </w:rPr>
        <w:t>★</w:t>
      </w:r>
      <w:r>
        <w:rPr>
          <w:rFonts w:hint="eastAsia"/>
          <w:lang w:val="en-US" w:eastAsia="zh-CN"/>
        </w:rPr>
        <w:t>6.1.1.15隐蔽工程应在隐蔽前由报价人通知采购人进行见证验收，并完成验收记录。采购人检查确认符合隐蔽质量要求后，报价人方能进行覆盖。报价人未通知采购人到场检查，私自将工程隐蔽部位覆盖的，采购人有权要求报价人返工，由此增加的费用和工期延误由报价人承担，报价人提供隐蔽工程影像资料。</w:t>
      </w:r>
    </w:p>
    <w:p>
      <w:pPr>
        <w:spacing w:line="360" w:lineRule="auto"/>
        <w:ind w:right="42" w:rightChars="20" w:firstLine="315" w:firstLineChars="150"/>
        <w:rPr>
          <w:rFonts w:hint="eastAsia"/>
          <w:lang w:val="en-US" w:eastAsia="zh-CN"/>
        </w:rPr>
      </w:pPr>
      <w:bookmarkStart w:id="53" w:name="_Toc2612"/>
      <w:bookmarkStart w:id="54" w:name="_Toc15167"/>
      <w:bookmarkStart w:id="55" w:name="_Toc13076"/>
      <w:r>
        <w:rPr>
          <w:rFonts w:hint="eastAsia"/>
          <w:lang w:val="en-US" w:eastAsia="zh-CN"/>
        </w:rPr>
        <w:t>6.1.1.16每项工程施工完成后，报价人向采购人提交验收申请，采购人在接到验收申请后3日内组织验收。</w:t>
      </w:r>
    </w:p>
    <w:p>
      <w:pPr>
        <w:spacing w:line="360" w:lineRule="auto"/>
        <w:ind w:right="42" w:rightChars="20" w:firstLine="315" w:firstLineChars="150"/>
        <w:rPr>
          <w:rFonts w:hint="eastAsia"/>
          <w:lang w:val="en-US" w:eastAsia="zh-CN"/>
        </w:rPr>
      </w:pPr>
      <w:r>
        <w:rPr>
          <w:rFonts w:hint="eastAsia"/>
        </w:rPr>
        <w:t>★</w:t>
      </w:r>
      <w:r>
        <w:rPr>
          <w:rFonts w:hint="eastAsia"/>
          <w:lang w:val="en-US" w:eastAsia="zh-CN"/>
        </w:rPr>
        <w:t>6.1.1.17报价人负责提供施工自检记录及施工日志。</w:t>
      </w:r>
    </w:p>
    <w:p>
      <w:pPr>
        <w:spacing w:line="360" w:lineRule="auto"/>
        <w:ind w:right="42" w:rightChars="20" w:firstLine="315" w:firstLineChars="150"/>
        <w:rPr>
          <w:rFonts w:hint="default"/>
          <w:lang w:val="en-US" w:eastAsia="zh-CN"/>
        </w:rPr>
      </w:pPr>
      <w:r>
        <w:rPr>
          <w:rFonts w:hint="eastAsia"/>
        </w:rPr>
        <w:t>★</w:t>
      </w:r>
      <w:r>
        <w:rPr>
          <w:rFonts w:hint="eastAsia"/>
          <w:lang w:val="en-US" w:eastAsia="zh-CN"/>
        </w:rPr>
        <w:t>6.1.1.18竣工验收完成后，由报价人负责整理并形成3套竣工验收资料。</w:t>
      </w:r>
    </w:p>
    <w:bookmarkEnd w:id="53"/>
    <w:bookmarkEnd w:id="54"/>
    <w:bookmarkEnd w:id="55"/>
    <w:p>
      <w:pPr>
        <w:spacing w:line="360" w:lineRule="auto"/>
        <w:ind w:right="42" w:rightChars="20" w:firstLine="315" w:firstLineChars="150"/>
        <w:rPr>
          <w:rFonts w:hint="eastAsia"/>
          <w:lang w:val="en-US" w:eastAsia="zh-CN"/>
        </w:rPr>
      </w:pPr>
      <w:r>
        <w:rPr>
          <w:rFonts w:hint="eastAsia"/>
        </w:rPr>
        <w:t>★</w:t>
      </w:r>
      <w:r>
        <w:rPr>
          <w:rFonts w:hint="eastAsia"/>
          <w:lang w:val="en-US" w:eastAsia="zh-CN"/>
        </w:rPr>
        <w:t>6.1.1.19报价人应承担质量保证责任，质量保证期内出现质量问题，由报价人负责修复并承担全部费用。</w:t>
      </w:r>
    </w:p>
    <w:p>
      <w:pPr>
        <w:spacing w:line="360" w:lineRule="auto"/>
        <w:ind w:right="42" w:rightChars="20" w:firstLine="315" w:firstLineChars="150"/>
        <w:rPr>
          <w:rFonts w:hint="eastAsia"/>
          <w:lang w:val="en-US" w:eastAsia="zh-CN"/>
        </w:rPr>
      </w:pPr>
      <w:r>
        <w:rPr>
          <w:rFonts w:hint="eastAsia"/>
        </w:rPr>
        <w:t>★</w:t>
      </w:r>
      <w:r>
        <w:rPr>
          <w:rFonts w:hint="eastAsia"/>
          <w:lang w:val="en-US" w:eastAsia="zh-CN"/>
        </w:rPr>
        <w:t>6.1.1.20本项目质保期为竣工验收合格后一年。</w:t>
      </w:r>
    </w:p>
    <w:p>
      <w:pPr>
        <w:spacing w:line="360" w:lineRule="auto"/>
        <w:ind w:right="42" w:rightChars="20" w:firstLine="315" w:firstLineChars="150"/>
        <w:rPr>
          <w:rFonts w:hint="eastAsia"/>
          <w:lang w:val="en-US" w:eastAsia="zh-CN"/>
        </w:rPr>
      </w:pPr>
      <w:r>
        <w:rPr>
          <w:rFonts w:hint="eastAsia"/>
        </w:rPr>
        <w:t>★</w:t>
      </w:r>
      <w:r>
        <w:rPr>
          <w:rFonts w:hint="eastAsia"/>
          <w:lang w:val="en-US" w:eastAsia="zh-CN"/>
        </w:rPr>
        <w:t>6.1.1.21因报价人原因造成采购人损失的，采购人除追究报价人违约责任外，有权根据责任划分对报价人进行考核。</w:t>
      </w:r>
    </w:p>
    <w:p>
      <w:pPr>
        <w:spacing w:line="360" w:lineRule="auto"/>
        <w:ind w:right="42" w:rightChars="20" w:firstLine="315" w:firstLineChars="150"/>
        <w:rPr>
          <w:rFonts w:hint="eastAsia"/>
          <w:lang w:val="en-US" w:eastAsia="zh-CN"/>
        </w:rPr>
      </w:pPr>
      <w:r>
        <w:rPr>
          <w:rFonts w:hint="eastAsia"/>
        </w:rPr>
        <w:t>★</w:t>
      </w:r>
      <w:r>
        <w:rPr>
          <w:rFonts w:hint="eastAsia"/>
          <w:lang w:val="en-US" w:eastAsia="zh-CN"/>
        </w:rPr>
        <w:t>6.1.1.22如在质保期内，由于报价人原因，出现施工质量问题，由报价人负责免费处理。</w:t>
      </w:r>
    </w:p>
    <w:p>
      <w:pPr>
        <w:spacing w:line="360" w:lineRule="auto"/>
        <w:ind w:right="42" w:rightChars="20" w:firstLine="315" w:firstLineChars="150"/>
        <w:rPr>
          <w:rFonts w:hint="eastAsia"/>
          <w:lang w:val="en-US" w:eastAsia="zh-CN"/>
        </w:rPr>
      </w:pPr>
      <w:r>
        <w:rPr>
          <w:rFonts w:hint="eastAsia"/>
        </w:rPr>
        <w:t>★</w:t>
      </w:r>
      <w:r>
        <w:rPr>
          <w:rFonts w:hint="eastAsia"/>
          <w:lang w:val="en-US" w:eastAsia="zh-CN"/>
        </w:rPr>
        <w:t>6.1.1.23报价人在施工中如发生安全事故，由报价人全权负责，采购人不承担任何责任。</w:t>
      </w:r>
    </w:p>
    <w:p>
      <w:pPr>
        <w:spacing w:line="360" w:lineRule="auto"/>
        <w:ind w:right="42" w:rightChars="20" w:firstLine="315" w:firstLineChars="150"/>
        <w:rPr>
          <w:rFonts w:hint="eastAsia"/>
          <w:lang w:val="en-US" w:eastAsia="zh-CN"/>
        </w:rPr>
      </w:pPr>
      <w:r>
        <w:rPr>
          <w:rFonts w:hint="eastAsia"/>
        </w:rPr>
        <w:t>★</w:t>
      </w:r>
      <w:r>
        <w:rPr>
          <w:rFonts w:hint="eastAsia"/>
          <w:lang w:val="en-US" w:eastAsia="zh-CN"/>
        </w:rPr>
        <w:t>6.1.1.24报价人在施工中应加强对现场设备的保护，对现场的所有设备不得有任何损伤、破坏，保障施工现场文明卫生。</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spacing w:line="360" w:lineRule="auto"/>
        <w:ind w:right="42" w:rightChars="20" w:firstLine="315" w:firstLineChars="150"/>
        <w:rPr>
          <w:rFonts w:hint="eastAsia" w:ascii="黑体" w:hAnsi="黑体" w:eastAsia="黑体" w:cs="黑体"/>
          <w:color w:val="000000" w:themeColor="text1"/>
          <w:spacing w:val="7"/>
          <w:sz w:val="43"/>
          <w:szCs w:val="43"/>
          <w:lang w:val="en-US" w:eastAsia="zh-CN"/>
          <w14:textFill>
            <w14:solidFill>
              <w14:schemeClr w14:val="tx1"/>
            </w14:solidFill>
          </w14:textFill>
        </w:rPr>
      </w:pPr>
      <w:r>
        <w:rPr>
          <w:rFonts w:hint="eastAsia"/>
        </w:rPr>
        <w:t>★</w:t>
      </w:r>
      <w:r>
        <w:rPr>
          <w:rFonts w:hint="eastAsia"/>
          <w:lang w:val="en-US" w:eastAsia="zh-CN"/>
        </w:rPr>
        <w:t>6.1.1.25报价人必须与采购人签订《施工安全协议》后，方准进场施工。</w:t>
      </w:r>
    </w:p>
    <w:p>
      <w:pPr>
        <w:spacing w:before="233" w:line="222" w:lineRule="auto"/>
        <w:jc w:val="center"/>
        <w:rPr>
          <w:rFonts w:ascii="黑体" w:hAnsi="黑体" w:eastAsia="黑体" w:cs="黑体"/>
          <w:color w:val="000000" w:themeColor="text1"/>
          <w:sz w:val="43"/>
          <w:szCs w:val="43"/>
          <w14:textFill>
            <w14:solidFill>
              <w14:schemeClr w14:val="tx1"/>
            </w14:solidFill>
          </w14:textFill>
        </w:rPr>
      </w:pPr>
      <w:r>
        <w:rPr>
          <w:rFonts w:hint="eastAsia" w:ascii="黑体" w:hAnsi="黑体" w:eastAsia="黑体" w:cs="黑体"/>
          <w:color w:val="000000" w:themeColor="text1"/>
          <w:spacing w:val="7"/>
          <w:sz w:val="43"/>
          <w:szCs w:val="43"/>
          <w:lang w:val="en-US" w:eastAsia="zh-CN"/>
          <w14:textFill>
            <w14:solidFill>
              <w14:schemeClr w14:val="tx1"/>
            </w14:solidFill>
          </w14:textFill>
        </w:rPr>
        <w:t>溜煤眼</w:t>
      </w:r>
      <w:r>
        <w:rPr>
          <w:rFonts w:ascii="黑体" w:hAnsi="黑体" w:eastAsia="黑体" w:cs="黑体"/>
          <w:color w:val="000000" w:themeColor="text1"/>
          <w:spacing w:val="7"/>
          <w:sz w:val="43"/>
          <w:szCs w:val="43"/>
          <w14:textFill>
            <w14:solidFill>
              <w14:schemeClr w14:val="tx1"/>
            </w14:solidFill>
          </w14:textFill>
        </w:rPr>
        <w:t>设备明细表</w:t>
      </w:r>
    </w:p>
    <w:p>
      <w:pPr>
        <w:spacing w:line="145" w:lineRule="exact"/>
        <w:rPr>
          <w:color w:val="000000" w:themeColor="text1"/>
          <w14:textFill>
            <w14:solidFill>
              <w14:schemeClr w14:val="tx1"/>
            </w14:solidFill>
          </w14:textFill>
        </w:rPr>
      </w:pPr>
    </w:p>
    <w:tbl>
      <w:tblPr>
        <w:tblStyle w:val="11"/>
        <w:tblW w:w="139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95"/>
        <w:gridCol w:w="1792"/>
        <w:gridCol w:w="3204"/>
        <w:gridCol w:w="1024"/>
        <w:gridCol w:w="1790"/>
        <w:gridCol w:w="2172"/>
        <w:gridCol w:w="21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1795" w:type="dxa"/>
            <w:vAlign w:val="center"/>
          </w:tcPr>
          <w:p>
            <w:pPr>
              <w:spacing w:before="179" w:line="222" w:lineRule="auto"/>
              <w:ind w:left="124"/>
              <w:jc w:val="center"/>
              <w:rPr>
                <w:rFonts w:ascii="仿宋" w:hAnsi="仿宋" w:eastAsia="仿宋" w:cs="仿宋"/>
                <w:color w:val="000000" w:themeColor="text1"/>
                <w:sz w:val="31"/>
                <w:szCs w:val="31"/>
                <w14:textFill>
                  <w14:solidFill>
                    <w14:schemeClr w14:val="tx1"/>
                  </w14:solidFill>
                </w14:textFill>
              </w:rPr>
            </w:pPr>
            <w:r>
              <w:rPr>
                <w:rFonts w:ascii="仿宋" w:hAnsi="仿宋" w:eastAsia="仿宋" w:cs="仿宋"/>
                <w:color w:val="000000" w:themeColor="text1"/>
                <w:spacing w:val="5"/>
                <w:sz w:val="31"/>
                <w:szCs w:val="31"/>
                <w14:textFill>
                  <w14:solidFill>
                    <w14:schemeClr w14:val="tx1"/>
                  </w14:solidFill>
                </w14:textFill>
              </w:rPr>
              <w:t>项目名称</w:t>
            </w:r>
          </w:p>
        </w:tc>
        <w:tc>
          <w:tcPr>
            <w:tcW w:w="6020" w:type="dxa"/>
            <w:gridSpan w:val="3"/>
            <w:vAlign w:val="center"/>
          </w:tcPr>
          <w:p>
            <w:pPr>
              <w:pStyle w:val="12"/>
              <w:jc w:val="center"/>
              <w:rPr>
                <w:rFonts w:hint="eastAsia" w:ascii="仿宋" w:hAnsi="仿宋" w:eastAsia="仿宋" w:cs="仿宋"/>
                <w:snapToGrid w:val="0"/>
                <w:color w:val="000000" w:themeColor="text1"/>
                <w:spacing w:val="5"/>
                <w:kern w:val="0"/>
                <w:sz w:val="31"/>
                <w:szCs w:val="31"/>
                <w:lang w:val="en-US" w:eastAsia="zh-CN" w:bidi="ar-SA"/>
                <w14:textFill>
                  <w14:solidFill>
                    <w14:schemeClr w14:val="tx1"/>
                  </w14:solidFill>
                </w14:textFill>
              </w:rPr>
            </w:pPr>
            <w:r>
              <w:rPr>
                <w:rFonts w:hint="eastAsia" w:ascii="仿宋" w:hAnsi="仿宋" w:eastAsia="仿宋" w:cs="仿宋"/>
                <w:snapToGrid w:val="0"/>
                <w:color w:val="000000" w:themeColor="text1"/>
                <w:spacing w:val="5"/>
                <w:kern w:val="0"/>
                <w:sz w:val="31"/>
                <w:szCs w:val="31"/>
                <w:lang w:val="en-US" w:eastAsia="zh-CN" w:bidi="ar-SA"/>
                <w14:textFill>
                  <w14:solidFill>
                    <w14:schemeClr w14:val="tx1"/>
                  </w14:solidFill>
                </w14:textFill>
              </w:rPr>
              <w:t>2-2中煤集辅3联巷处施工溜煤眼</w:t>
            </w:r>
          </w:p>
          <w:p>
            <w:pPr>
              <w:pStyle w:val="12"/>
              <w:jc w:val="center"/>
              <w:rPr>
                <w:color w:val="000000" w:themeColor="text1"/>
                <w14:textFill>
                  <w14:solidFill>
                    <w14:schemeClr w14:val="tx1"/>
                  </w14:solidFill>
                </w14:textFill>
              </w:rPr>
            </w:pPr>
            <w:r>
              <w:rPr>
                <w:rFonts w:hint="eastAsia" w:ascii="仿宋" w:hAnsi="仿宋" w:eastAsia="仿宋" w:cs="仿宋"/>
                <w:snapToGrid w:val="0"/>
                <w:color w:val="000000" w:themeColor="text1"/>
                <w:spacing w:val="5"/>
                <w:kern w:val="0"/>
                <w:sz w:val="31"/>
                <w:szCs w:val="31"/>
                <w:lang w:val="en-US" w:eastAsia="zh-CN" w:bidi="ar-SA"/>
                <w14:textFill>
                  <w14:solidFill>
                    <w14:schemeClr w14:val="tx1"/>
                  </w14:solidFill>
                </w14:textFill>
              </w:rPr>
              <w:t>优化运输系统</w:t>
            </w:r>
          </w:p>
        </w:tc>
        <w:tc>
          <w:tcPr>
            <w:tcW w:w="1790" w:type="dxa"/>
            <w:vAlign w:val="center"/>
          </w:tcPr>
          <w:p>
            <w:pPr>
              <w:spacing w:before="179" w:line="222" w:lineRule="auto"/>
              <w:ind w:left="166"/>
              <w:jc w:val="center"/>
              <w:rPr>
                <w:rFonts w:ascii="仿宋" w:hAnsi="仿宋" w:eastAsia="仿宋" w:cs="仿宋"/>
                <w:color w:val="000000" w:themeColor="text1"/>
                <w:sz w:val="31"/>
                <w:szCs w:val="31"/>
                <w14:textFill>
                  <w14:solidFill>
                    <w14:schemeClr w14:val="tx1"/>
                  </w14:solidFill>
                </w14:textFill>
              </w:rPr>
            </w:pPr>
            <w:r>
              <w:rPr>
                <w:rFonts w:ascii="仿宋" w:hAnsi="仿宋" w:eastAsia="仿宋" w:cs="仿宋"/>
                <w:color w:val="000000" w:themeColor="text1"/>
                <w:spacing w:val="-6"/>
                <w:sz w:val="31"/>
                <w:szCs w:val="31"/>
                <w14:textFill>
                  <w14:solidFill>
                    <w14:schemeClr w14:val="tx1"/>
                  </w14:solidFill>
                </w14:textFill>
              </w:rPr>
              <w:t>申报单位</w:t>
            </w:r>
          </w:p>
        </w:tc>
        <w:tc>
          <w:tcPr>
            <w:tcW w:w="4350" w:type="dxa"/>
            <w:gridSpan w:val="2"/>
            <w:vAlign w:val="center"/>
          </w:tcPr>
          <w:p>
            <w:pPr>
              <w:pStyle w:val="12"/>
              <w:jc w:val="center"/>
              <w:rPr>
                <w:rFonts w:hint="default" w:eastAsia="宋体"/>
                <w:color w:val="000000" w:themeColor="text1"/>
                <w:lang w:val="en-US" w:eastAsia="zh-CN"/>
                <w14:textFill>
                  <w14:solidFill>
                    <w14:schemeClr w14:val="tx1"/>
                  </w14:solidFill>
                </w14:textFill>
              </w:rPr>
            </w:pPr>
            <w:r>
              <w:rPr>
                <w:rFonts w:hint="eastAsia" w:ascii="仿宋" w:hAnsi="仿宋" w:eastAsia="仿宋" w:cs="仿宋"/>
                <w:snapToGrid w:val="0"/>
                <w:color w:val="000000" w:themeColor="text1"/>
                <w:spacing w:val="5"/>
                <w:kern w:val="0"/>
                <w:sz w:val="31"/>
                <w:szCs w:val="31"/>
                <w:lang w:val="en-US" w:eastAsia="zh-CN" w:bidi="ar-SA"/>
                <w14:textFill>
                  <w14:solidFill>
                    <w14:schemeClr w14:val="tx1"/>
                  </w14:solidFill>
                </w14:textFill>
              </w:rPr>
              <w:t>内蒙古李家塔矿业有限公司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795" w:type="dxa"/>
            <w:vAlign w:val="top"/>
          </w:tcPr>
          <w:p>
            <w:pPr>
              <w:spacing w:before="177" w:line="224" w:lineRule="auto"/>
              <w:ind w:left="583"/>
              <w:rPr>
                <w:rFonts w:ascii="仿宋" w:hAnsi="仿宋" w:eastAsia="仿宋" w:cs="仿宋"/>
                <w:color w:val="000000" w:themeColor="text1"/>
                <w:sz w:val="31"/>
                <w:szCs w:val="31"/>
                <w14:textFill>
                  <w14:solidFill>
                    <w14:schemeClr w14:val="tx1"/>
                  </w14:solidFill>
                </w14:textFill>
              </w:rPr>
            </w:pPr>
            <w:r>
              <w:rPr>
                <w:rFonts w:ascii="仿宋" w:hAnsi="仿宋" w:eastAsia="仿宋" w:cs="仿宋"/>
                <w:color w:val="000000" w:themeColor="text1"/>
                <w:spacing w:val="5"/>
                <w:sz w:val="31"/>
                <w:szCs w:val="31"/>
                <w14:textFill>
                  <w14:solidFill>
                    <w14:schemeClr w14:val="tx1"/>
                  </w14:solidFill>
                </w14:textFill>
              </w:rPr>
              <w:t>序号</w:t>
            </w:r>
          </w:p>
        </w:tc>
        <w:tc>
          <w:tcPr>
            <w:tcW w:w="1792" w:type="dxa"/>
            <w:vAlign w:val="top"/>
          </w:tcPr>
          <w:p>
            <w:pPr>
              <w:spacing w:before="178" w:line="222" w:lineRule="auto"/>
              <w:ind w:left="262"/>
              <w:rPr>
                <w:rFonts w:ascii="仿宋" w:hAnsi="仿宋" w:eastAsia="仿宋" w:cs="仿宋"/>
                <w:color w:val="000000" w:themeColor="text1"/>
                <w:sz w:val="31"/>
                <w:szCs w:val="31"/>
                <w14:textFill>
                  <w14:solidFill>
                    <w14:schemeClr w14:val="tx1"/>
                  </w14:solidFill>
                </w14:textFill>
              </w:rPr>
            </w:pPr>
            <w:r>
              <w:rPr>
                <w:rFonts w:ascii="仿宋" w:hAnsi="仿宋" w:eastAsia="仿宋" w:cs="仿宋"/>
                <w:color w:val="000000" w:themeColor="text1"/>
                <w:spacing w:val="6"/>
                <w:sz w:val="31"/>
                <w:szCs w:val="31"/>
                <w14:textFill>
                  <w14:solidFill>
                    <w14:schemeClr w14:val="tx1"/>
                  </w14:solidFill>
                </w14:textFill>
              </w:rPr>
              <w:t>设备名称</w:t>
            </w:r>
          </w:p>
        </w:tc>
        <w:tc>
          <w:tcPr>
            <w:tcW w:w="3204" w:type="dxa"/>
            <w:vAlign w:val="top"/>
          </w:tcPr>
          <w:p>
            <w:pPr>
              <w:spacing w:before="178" w:line="224" w:lineRule="auto"/>
              <w:ind w:left="504"/>
              <w:rPr>
                <w:rFonts w:ascii="仿宋" w:hAnsi="仿宋" w:eastAsia="仿宋" w:cs="仿宋"/>
                <w:color w:val="000000" w:themeColor="text1"/>
                <w:sz w:val="31"/>
                <w:szCs w:val="31"/>
                <w14:textFill>
                  <w14:solidFill>
                    <w14:schemeClr w14:val="tx1"/>
                  </w14:solidFill>
                </w14:textFill>
              </w:rPr>
            </w:pPr>
            <w:r>
              <w:rPr>
                <w:rFonts w:ascii="仿宋" w:hAnsi="仿宋" w:eastAsia="仿宋" w:cs="仿宋"/>
                <w:color w:val="000000" w:themeColor="text1"/>
                <w:spacing w:val="6"/>
                <w:sz w:val="31"/>
                <w:szCs w:val="31"/>
                <w14:textFill>
                  <w14:solidFill>
                    <w14:schemeClr w14:val="tx1"/>
                  </w14:solidFill>
                </w14:textFill>
              </w:rPr>
              <w:t>型号及生产厂家</w:t>
            </w:r>
          </w:p>
        </w:tc>
        <w:tc>
          <w:tcPr>
            <w:tcW w:w="1024" w:type="dxa"/>
            <w:vAlign w:val="top"/>
          </w:tcPr>
          <w:p>
            <w:pPr>
              <w:spacing w:before="178" w:line="222" w:lineRule="auto"/>
              <w:ind w:left="209"/>
              <w:rPr>
                <w:rFonts w:ascii="仿宋" w:hAnsi="仿宋" w:eastAsia="仿宋" w:cs="仿宋"/>
                <w:color w:val="000000" w:themeColor="text1"/>
                <w:sz w:val="31"/>
                <w:szCs w:val="31"/>
                <w14:textFill>
                  <w14:solidFill>
                    <w14:schemeClr w14:val="tx1"/>
                  </w14:solidFill>
                </w14:textFill>
              </w:rPr>
            </w:pPr>
            <w:r>
              <w:rPr>
                <w:rFonts w:ascii="仿宋" w:hAnsi="仿宋" w:eastAsia="仿宋" w:cs="仿宋"/>
                <w:color w:val="000000" w:themeColor="text1"/>
                <w:sz w:val="31"/>
                <w:szCs w:val="31"/>
                <w14:textFill>
                  <w14:solidFill>
                    <w14:schemeClr w14:val="tx1"/>
                  </w14:solidFill>
                </w14:textFill>
              </w:rPr>
              <w:t>单位</w:t>
            </w:r>
          </w:p>
        </w:tc>
        <w:tc>
          <w:tcPr>
            <w:tcW w:w="1790" w:type="dxa"/>
            <w:vAlign w:val="top"/>
          </w:tcPr>
          <w:p>
            <w:pPr>
              <w:spacing w:before="178" w:line="224" w:lineRule="auto"/>
              <w:ind w:left="592"/>
              <w:rPr>
                <w:rFonts w:ascii="仿宋" w:hAnsi="仿宋" w:eastAsia="仿宋" w:cs="仿宋"/>
                <w:color w:val="000000" w:themeColor="text1"/>
                <w:sz w:val="31"/>
                <w:szCs w:val="31"/>
                <w14:textFill>
                  <w14:solidFill>
                    <w14:schemeClr w14:val="tx1"/>
                  </w14:solidFill>
                </w14:textFill>
              </w:rPr>
            </w:pPr>
            <w:r>
              <w:rPr>
                <w:rFonts w:ascii="仿宋" w:hAnsi="仿宋" w:eastAsia="仿宋" w:cs="仿宋"/>
                <w:color w:val="000000" w:themeColor="text1"/>
                <w:spacing w:val="-1"/>
                <w:sz w:val="31"/>
                <w:szCs w:val="31"/>
                <w14:textFill>
                  <w14:solidFill>
                    <w14:schemeClr w14:val="tx1"/>
                  </w14:solidFill>
                </w14:textFill>
              </w:rPr>
              <w:t>数量</w:t>
            </w:r>
          </w:p>
        </w:tc>
        <w:tc>
          <w:tcPr>
            <w:tcW w:w="2172" w:type="dxa"/>
            <w:vAlign w:val="top"/>
          </w:tcPr>
          <w:p>
            <w:pPr>
              <w:spacing w:before="178" w:line="222" w:lineRule="auto"/>
              <w:ind w:left="304"/>
              <w:rPr>
                <w:rFonts w:ascii="仿宋" w:hAnsi="仿宋" w:eastAsia="仿宋" w:cs="仿宋"/>
                <w:color w:val="000000" w:themeColor="text1"/>
                <w:sz w:val="31"/>
                <w:szCs w:val="31"/>
                <w14:textFill>
                  <w14:solidFill>
                    <w14:schemeClr w14:val="tx1"/>
                  </w14:solidFill>
                </w14:textFill>
              </w:rPr>
            </w:pPr>
            <w:r>
              <w:rPr>
                <w:rFonts w:ascii="仿宋" w:hAnsi="仿宋" w:eastAsia="仿宋" w:cs="仿宋"/>
                <w:color w:val="000000" w:themeColor="text1"/>
                <w:spacing w:val="5"/>
                <w:sz w:val="31"/>
                <w:szCs w:val="31"/>
                <w14:textFill>
                  <w14:solidFill>
                    <w14:schemeClr w14:val="tx1"/>
                  </w14:solidFill>
                </w14:textFill>
              </w:rPr>
              <w:t>单价（元）</w:t>
            </w:r>
          </w:p>
        </w:tc>
        <w:tc>
          <w:tcPr>
            <w:tcW w:w="2178" w:type="dxa"/>
            <w:vAlign w:val="top"/>
          </w:tcPr>
          <w:p>
            <w:pPr>
              <w:spacing w:before="177" w:line="224" w:lineRule="auto"/>
              <w:ind w:left="301"/>
              <w:rPr>
                <w:rFonts w:ascii="仿宋" w:hAnsi="仿宋" w:eastAsia="仿宋" w:cs="仿宋"/>
                <w:color w:val="000000" w:themeColor="text1"/>
                <w:sz w:val="31"/>
                <w:szCs w:val="31"/>
                <w14:textFill>
                  <w14:solidFill>
                    <w14:schemeClr w14:val="tx1"/>
                  </w14:solidFill>
                </w14:textFill>
              </w:rPr>
            </w:pPr>
            <w:r>
              <w:rPr>
                <w:rFonts w:ascii="仿宋" w:hAnsi="仿宋" w:eastAsia="仿宋" w:cs="仿宋"/>
                <w:color w:val="000000" w:themeColor="text1"/>
                <w:spacing w:val="5"/>
                <w:sz w:val="31"/>
                <w:szCs w:val="31"/>
                <w14:textFill>
                  <w14:solidFill>
                    <w14:schemeClr w14:val="tx1"/>
                  </w14:solidFill>
                </w14:textFill>
              </w:rPr>
              <w:t>合价（元）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795" w:type="dxa"/>
            <w:vAlign w:val="center"/>
          </w:tcPr>
          <w:p>
            <w:pPr>
              <w:widowControl/>
              <w:jc w:val="center"/>
              <w:textAlignment w:val="center"/>
              <w:rPr>
                <w:rFonts w:hint="eastAsia" w:ascii="仿宋" w:hAnsi="仿宋" w:eastAsia="仿宋" w:cs="仿宋"/>
                <w:snapToGrid w:val="0"/>
                <w:color w:val="000000" w:themeColor="text1"/>
                <w:kern w:val="0"/>
                <w:sz w:val="24"/>
                <w:szCs w:val="21"/>
                <w:lang w:val="en-US" w:eastAsia="en-US" w:bidi="ar-SA"/>
                <w14:textFill>
                  <w14:solidFill>
                    <w14:schemeClr w14:val="tx1"/>
                  </w14:solidFill>
                </w14:textFill>
              </w:rPr>
            </w:pPr>
            <w:r>
              <w:rPr>
                <w:rFonts w:hint="eastAsia" w:ascii="仿宋" w:hAnsi="仿宋" w:eastAsia="仿宋" w:cs="仿宋"/>
                <w:color w:val="000000" w:themeColor="text1"/>
                <w:kern w:val="0"/>
                <w:sz w:val="24"/>
                <w:lang w:bidi="ar"/>
                <w14:textFill>
                  <w14:solidFill>
                    <w14:schemeClr w14:val="tx1"/>
                  </w14:solidFill>
                </w14:textFill>
              </w:rPr>
              <w:t>1</w:t>
            </w:r>
          </w:p>
        </w:tc>
        <w:tc>
          <w:tcPr>
            <w:tcW w:w="1792" w:type="dxa"/>
            <w:vAlign w:val="center"/>
          </w:tcPr>
          <w:p>
            <w:pPr>
              <w:widowControl/>
              <w:jc w:val="center"/>
              <w:textAlignment w:val="center"/>
              <w:rPr>
                <w:rFonts w:hint="eastAsia" w:ascii="仿宋" w:hAnsi="仿宋" w:eastAsia="仿宋" w:cs="仿宋"/>
                <w:color w:val="000000" w:themeColor="text1"/>
                <w:kern w:val="0"/>
                <w:sz w:val="24"/>
                <w:lang w:val="en-US" w:eastAsia="en-US"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甲带给料机</w:t>
            </w:r>
          </w:p>
        </w:tc>
        <w:tc>
          <w:tcPr>
            <w:tcW w:w="3204" w:type="dxa"/>
            <w:vAlign w:val="center"/>
          </w:tcPr>
          <w:p>
            <w:pPr>
              <w:widowControl/>
              <w:jc w:val="center"/>
              <w:textAlignment w:val="center"/>
              <w:rPr>
                <w:rFonts w:hint="eastAsia"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参考型号GLJL5000/15/B500～5000t/h）主要包括：仓口连接段、新型防砸托链装置、新型托辊组件、甲带、快装滚子链牵引阻燃胶链带组件、(新型)前置清扫器、连接段、防砸导料槽、液压闸门组件、液压站、加强型底架、驱动齿轮滚筒总成、改向齿轮滚筒总成、中间清扫器、驱动装置总成、传动机构等。</w:t>
            </w:r>
          </w:p>
          <w:p>
            <w:pPr>
              <w:widowControl/>
              <w:jc w:val="left"/>
              <w:textAlignment w:val="center"/>
              <w:rPr>
                <w:rFonts w:hint="eastAsia" w:ascii="仿宋" w:hAnsi="仿宋" w:eastAsia="仿宋" w:cs="仿宋"/>
                <w:color w:val="000000" w:themeColor="text1"/>
                <w:kern w:val="0"/>
                <w:sz w:val="24"/>
                <w:lang w:val="en-US" w:eastAsia="zh-CN" w:bidi="ar"/>
                <w14:textFill>
                  <w14:solidFill>
                    <w14:schemeClr w14:val="tx1"/>
                  </w14:solidFill>
                </w14:textFill>
              </w:rPr>
            </w:pPr>
          </w:p>
        </w:tc>
        <w:tc>
          <w:tcPr>
            <w:tcW w:w="1024" w:type="dxa"/>
            <w:vAlign w:val="center"/>
          </w:tcPr>
          <w:p>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台</w:t>
            </w:r>
          </w:p>
        </w:tc>
        <w:tc>
          <w:tcPr>
            <w:tcW w:w="1790" w:type="dxa"/>
            <w:vAlign w:val="center"/>
          </w:tcPr>
          <w:p>
            <w:pPr>
              <w:widowControl/>
              <w:jc w:val="center"/>
              <w:textAlignment w:val="center"/>
              <w:rPr>
                <w:rFonts w:hint="eastAsia" w:ascii="仿宋" w:hAnsi="仿宋" w:eastAsia="仿宋" w:cs="仿宋"/>
                <w:color w:val="000000" w:themeColor="text1"/>
                <w:kern w:val="0"/>
                <w:sz w:val="24"/>
                <w:lang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1</w:t>
            </w:r>
          </w:p>
        </w:tc>
        <w:tc>
          <w:tcPr>
            <w:tcW w:w="2172" w:type="dxa"/>
            <w:vAlign w:val="center"/>
          </w:tcPr>
          <w:p>
            <w:pPr>
              <w:widowControl/>
              <w:jc w:val="center"/>
              <w:textAlignment w:val="center"/>
              <w:rPr>
                <w:rFonts w:hint="default" w:ascii="仿宋" w:hAnsi="仿宋" w:eastAsia="仿宋" w:cs="仿宋"/>
                <w:color w:val="000000" w:themeColor="text1"/>
                <w:kern w:val="0"/>
                <w:sz w:val="24"/>
                <w:lang w:val="en-US" w:eastAsia="zh-CN" w:bidi="ar"/>
                <w14:textFill>
                  <w14:solidFill>
                    <w14:schemeClr w14:val="tx1"/>
                  </w14:solidFill>
                </w14:textFill>
              </w:rPr>
            </w:pPr>
          </w:p>
        </w:tc>
        <w:tc>
          <w:tcPr>
            <w:tcW w:w="2178" w:type="dxa"/>
            <w:vAlign w:val="center"/>
          </w:tcPr>
          <w:p>
            <w:pPr>
              <w:widowControl/>
              <w:jc w:val="center"/>
              <w:textAlignment w:val="center"/>
              <w:rPr>
                <w:rFonts w:hint="default" w:ascii="仿宋" w:hAnsi="仿宋" w:eastAsia="仿宋" w:cs="仿宋"/>
                <w:color w:val="000000" w:themeColor="text1"/>
                <w:kern w:val="0"/>
                <w:sz w:val="24"/>
                <w:lang w:val="en-US" w:eastAsia="zh-CN" w:bidi="ar"/>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795" w:type="dxa"/>
            <w:vAlign w:val="center"/>
          </w:tcPr>
          <w:p>
            <w:pPr>
              <w:widowControl/>
              <w:jc w:val="center"/>
              <w:textAlignment w:val="center"/>
              <w:rPr>
                <w:rFonts w:hint="eastAsia"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2</w:t>
            </w:r>
          </w:p>
        </w:tc>
        <w:tc>
          <w:tcPr>
            <w:tcW w:w="1792" w:type="dxa"/>
            <w:vAlign w:val="center"/>
          </w:tcPr>
          <w:p>
            <w:pPr>
              <w:widowControl/>
              <w:jc w:val="center"/>
              <w:textAlignment w:val="center"/>
              <w:rPr>
                <w:rFonts w:hint="default"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空气炮</w:t>
            </w:r>
          </w:p>
        </w:tc>
        <w:tc>
          <w:tcPr>
            <w:tcW w:w="3204" w:type="dxa"/>
            <w:vAlign w:val="center"/>
          </w:tcPr>
          <w:p>
            <w:pPr>
              <w:widowControl/>
              <w:jc w:val="left"/>
              <w:textAlignment w:val="center"/>
              <w:rPr>
                <w:rFonts w:hint="default"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参考型号KQP-B-100L 配套电控箱</w:t>
            </w:r>
          </w:p>
        </w:tc>
        <w:tc>
          <w:tcPr>
            <w:tcW w:w="1024" w:type="dxa"/>
            <w:vAlign w:val="center"/>
          </w:tcPr>
          <w:p>
            <w:pPr>
              <w:widowControl/>
              <w:jc w:val="center"/>
              <w:textAlignment w:val="center"/>
              <w:rPr>
                <w:rFonts w:hint="default"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台</w:t>
            </w:r>
          </w:p>
        </w:tc>
        <w:tc>
          <w:tcPr>
            <w:tcW w:w="1790" w:type="dxa"/>
            <w:vAlign w:val="center"/>
          </w:tcPr>
          <w:p>
            <w:pPr>
              <w:widowControl/>
              <w:jc w:val="center"/>
              <w:textAlignment w:val="center"/>
              <w:rPr>
                <w:rFonts w:hint="default" w:ascii="仿宋" w:hAnsi="仿宋" w:eastAsia="仿宋" w:cs="仿宋"/>
                <w:color w:val="000000" w:themeColor="text1"/>
                <w:kern w:val="0"/>
                <w:sz w:val="24"/>
                <w:lang w:val="en-US" w:eastAsia="zh-CN" w:bidi="ar"/>
                <w14:textFill>
                  <w14:solidFill>
                    <w14:schemeClr w14:val="tx1"/>
                  </w14:solidFill>
                </w14:textFill>
              </w:rPr>
            </w:pPr>
            <w:r>
              <w:rPr>
                <w:rFonts w:hint="eastAsia" w:ascii="仿宋" w:hAnsi="仿宋" w:eastAsia="仿宋" w:cs="仿宋"/>
                <w:color w:val="000000" w:themeColor="text1"/>
                <w:kern w:val="0"/>
                <w:sz w:val="24"/>
                <w:lang w:val="en-US" w:eastAsia="zh-CN" w:bidi="ar"/>
                <w14:textFill>
                  <w14:solidFill>
                    <w14:schemeClr w14:val="tx1"/>
                  </w14:solidFill>
                </w14:textFill>
              </w:rPr>
              <w:t>2</w:t>
            </w:r>
          </w:p>
        </w:tc>
        <w:tc>
          <w:tcPr>
            <w:tcW w:w="2172" w:type="dxa"/>
            <w:vAlign w:val="center"/>
          </w:tcPr>
          <w:p>
            <w:pPr>
              <w:widowControl/>
              <w:jc w:val="center"/>
              <w:textAlignment w:val="center"/>
              <w:rPr>
                <w:rFonts w:hint="default" w:ascii="仿宋" w:hAnsi="仿宋" w:eastAsia="仿宋" w:cs="仿宋"/>
                <w:color w:val="000000" w:themeColor="text1"/>
                <w:kern w:val="0"/>
                <w:sz w:val="24"/>
                <w:lang w:val="en-US" w:eastAsia="zh-CN" w:bidi="ar"/>
                <w14:textFill>
                  <w14:solidFill>
                    <w14:schemeClr w14:val="tx1"/>
                  </w14:solidFill>
                </w14:textFill>
              </w:rPr>
            </w:pPr>
          </w:p>
        </w:tc>
        <w:tc>
          <w:tcPr>
            <w:tcW w:w="2178" w:type="dxa"/>
            <w:vAlign w:val="center"/>
          </w:tcPr>
          <w:p>
            <w:pPr>
              <w:widowControl/>
              <w:jc w:val="center"/>
              <w:textAlignment w:val="center"/>
              <w:rPr>
                <w:rFonts w:hint="default" w:ascii="仿宋" w:hAnsi="仿宋" w:eastAsia="仿宋" w:cs="仿宋"/>
                <w:color w:val="000000" w:themeColor="text1"/>
                <w:kern w:val="0"/>
                <w:sz w:val="24"/>
                <w:lang w:val="en-US" w:eastAsia="zh-CN" w:bidi="ar"/>
                <w14:textFill>
                  <w14:solidFill>
                    <w14:schemeClr w14:val="tx1"/>
                  </w14:solidFill>
                </w14:textFill>
              </w:rPr>
            </w:pPr>
          </w:p>
        </w:tc>
      </w:tr>
    </w:tbl>
    <w:p>
      <w:pPr>
        <w:adjustRightInd w:val="0"/>
        <w:snapToGrid w:val="0"/>
        <w:spacing w:line="360" w:lineRule="auto"/>
        <w:outlineLvl w:val="0"/>
        <w:rPr>
          <w:rFonts w:hint="eastAsia" w:ascii="宋体" w:hAnsi="宋体" w:cs="宋体"/>
          <w:color w:val="000000" w:themeColor="text1"/>
          <w:sz w:val="28"/>
          <w:szCs w:val="22"/>
          <w:highlight w:val="none"/>
          <w14:textFill>
            <w14:solidFill>
              <w14:schemeClr w14:val="tx1"/>
            </w14:solidFill>
          </w14:textFill>
        </w:rPr>
      </w:pPr>
      <w:bookmarkStart w:id="56" w:name="_Toc2599"/>
    </w:p>
    <w:p>
      <w:pPr>
        <w:spacing w:before="233" w:line="222" w:lineRule="auto"/>
        <w:jc w:val="center"/>
        <w:rPr>
          <w:rFonts w:hint="eastAsia" w:ascii="黑体" w:hAnsi="黑体" w:eastAsia="黑体" w:cs="黑体"/>
          <w:color w:val="000000" w:themeColor="text1"/>
          <w:spacing w:val="7"/>
          <w:sz w:val="36"/>
          <w:szCs w:val="36"/>
          <w:lang w:val="en-US" w:eastAsia="zh-CN"/>
          <w14:textFill>
            <w14:solidFill>
              <w14:schemeClr w14:val="tx1"/>
            </w14:solidFill>
          </w14:textFill>
        </w:rPr>
      </w:pPr>
      <w:r>
        <w:rPr>
          <w:rFonts w:hint="eastAsia" w:ascii="黑体" w:hAnsi="黑体" w:eastAsia="黑体" w:cs="黑体"/>
          <w:color w:val="000000" w:themeColor="text1"/>
          <w:spacing w:val="7"/>
          <w:sz w:val="36"/>
          <w:szCs w:val="36"/>
          <w:lang w:val="en-US" w:eastAsia="zh-CN"/>
          <w14:textFill>
            <w14:solidFill>
              <w14:schemeClr w14:val="tx1"/>
            </w14:solidFill>
          </w14:textFill>
        </w:rPr>
        <w:t>溜煤眼主体工程量清单</w:t>
      </w:r>
      <w:bookmarkEnd w:id="56"/>
    </w:p>
    <w:p>
      <w:pPr>
        <w:pStyle w:val="2"/>
        <w:rPr>
          <w:rFonts w:hint="eastAsia"/>
          <w:sz w:val="18"/>
          <w:szCs w:val="18"/>
          <w:lang w:val="en-US" w:eastAsia="zh-CN"/>
        </w:rPr>
      </w:pPr>
    </w:p>
    <w:tbl>
      <w:tblPr>
        <w:tblStyle w:val="11"/>
        <w:tblW w:w="14071" w:type="dxa"/>
        <w:tblInd w:w="1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50"/>
        <w:gridCol w:w="1150"/>
        <w:gridCol w:w="2754"/>
        <w:gridCol w:w="6217"/>
        <w:gridCol w:w="1216"/>
        <w:gridCol w:w="20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2" w:hRule="atLeast"/>
        </w:trPr>
        <w:tc>
          <w:tcPr>
            <w:tcW w:w="650" w:type="dxa"/>
            <w:vMerge w:val="restart"/>
            <w:tcBorders>
              <w:top w:val="single" w:color="000000" w:sz="14" w:space="0"/>
              <w:left w:val="single" w:color="000000" w:sz="14" w:space="0"/>
              <w:bottom w:val="nil"/>
            </w:tcBorders>
            <w:vAlign w:val="center"/>
          </w:tcPr>
          <w:p>
            <w:pPr>
              <w:pStyle w:val="12"/>
              <w:spacing w:line="378" w:lineRule="auto"/>
              <w:jc w:val="center"/>
            </w:pPr>
          </w:p>
          <w:p>
            <w:pPr>
              <w:spacing w:before="59" w:line="222" w:lineRule="auto"/>
              <w:ind w:left="141"/>
              <w:jc w:val="center"/>
              <w:rPr>
                <w:rFonts w:ascii="宋体" w:hAnsi="宋体" w:eastAsia="宋体" w:cs="宋体"/>
                <w:sz w:val="18"/>
                <w:szCs w:val="18"/>
              </w:rPr>
            </w:pPr>
            <w:r>
              <w:rPr>
                <w:rFonts w:ascii="宋体" w:hAnsi="宋体" w:eastAsia="宋体" w:cs="宋体"/>
                <w:spacing w:val="-4"/>
                <w:sz w:val="18"/>
                <w:szCs w:val="18"/>
              </w:rPr>
              <w:t>序号</w:t>
            </w:r>
          </w:p>
        </w:tc>
        <w:tc>
          <w:tcPr>
            <w:tcW w:w="1150" w:type="dxa"/>
            <w:vMerge w:val="restart"/>
            <w:tcBorders>
              <w:top w:val="single" w:color="000000" w:sz="14" w:space="0"/>
              <w:bottom w:val="nil"/>
            </w:tcBorders>
            <w:vAlign w:val="center"/>
          </w:tcPr>
          <w:p>
            <w:pPr>
              <w:pStyle w:val="12"/>
              <w:spacing w:line="379" w:lineRule="auto"/>
              <w:jc w:val="center"/>
            </w:pPr>
          </w:p>
          <w:p>
            <w:pPr>
              <w:spacing w:before="58" w:line="220" w:lineRule="auto"/>
              <w:ind w:left="153"/>
              <w:jc w:val="center"/>
              <w:rPr>
                <w:rFonts w:ascii="宋体" w:hAnsi="宋体" w:eastAsia="宋体" w:cs="宋体"/>
                <w:sz w:val="18"/>
                <w:szCs w:val="18"/>
              </w:rPr>
            </w:pPr>
            <w:r>
              <w:rPr>
                <w:rFonts w:ascii="宋体" w:hAnsi="宋体" w:eastAsia="宋体" w:cs="宋体"/>
                <w:spacing w:val="-3"/>
                <w:sz w:val="18"/>
                <w:szCs w:val="18"/>
              </w:rPr>
              <w:t>项目编码</w:t>
            </w:r>
          </w:p>
        </w:tc>
        <w:tc>
          <w:tcPr>
            <w:tcW w:w="2754" w:type="dxa"/>
            <w:vMerge w:val="restart"/>
            <w:tcBorders>
              <w:top w:val="single" w:color="000000" w:sz="14" w:space="0"/>
              <w:bottom w:val="nil"/>
            </w:tcBorders>
            <w:vAlign w:val="center"/>
          </w:tcPr>
          <w:p>
            <w:pPr>
              <w:pStyle w:val="12"/>
              <w:spacing w:line="378" w:lineRule="auto"/>
              <w:jc w:val="center"/>
            </w:pPr>
          </w:p>
          <w:p>
            <w:pPr>
              <w:spacing w:before="59" w:line="221" w:lineRule="auto"/>
              <w:ind w:left="346"/>
              <w:jc w:val="center"/>
              <w:rPr>
                <w:rFonts w:ascii="宋体" w:hAnsi="宋体" w:eastAsia="宋体" w:cs="宋体"/>
                <w:sz w:val="18"/>
                <w:szCs w:val="18"/>
              </w:rPr>
            </w:pPr>
            <w:r>
              <w:rPr>
                <w:rFonts w:ascii="宋体" w:hAnsi="宋体" w:eastAsia="宋体" w:cs="宋体"/>
                <w:spacing w:val="-3"/>
                <w:sz w:val="18"/>
                <w:szCs w:val="18"/>
              </w:rPr>
              <w:t>项目名称</w:t>
            </w:r>
          </w:p>
        </w:tc>
        <w:tc>
          <w:tcPr>
            <w:tcW w:w="6217" w:type="dxa"/>
            <w:vMerge w:val="restart"/>
            <w:tcBorders>
              <w:top w:val="single" w:color="000000" w:sz="14" w:space="0"/>
              <w:bottom w:val="nil"/>
            </w:tcBorders>
            <w:vAlign w:val="center"/>
          </w:tcPr>
          <w:p>
            <w:pPr>
              <w:pStyle w:val="12"/>
              <w:spacing w:line="379" w:lineRule="auto"/>
              <w:jc w:val="center"/>
            </w:pPr>
          </w:p>
          <w:p>
            <w:pPr>
              <w:spacing w:before="58" w:line="220" w:lineRule="auto"/>
              <w:ind w:left="557"/>
              <w:jc w:val="center"/>
              <w:rPr>
                <w:rFonts w:ascii="宋体" w:hAnsi="宋体" w:eastAsia="宋体" w:cs="宋体"/>
                <w:sz w:val="18"/>
                <w:szCs w:val="18"/>
              </w:rPr>
            </w:pPr>
            <w:r>
              <w:rPr>
                <w:rFonts w:ascii="宋体" w:hAnsi="宋体" w:eastAsia="宋体" w:cs="宋体"/>
                <w:spacing w:val="-3"/>
                <w:sz w:val="18"/>
                <w:szCs w:val="18"/>
              </w:rPr>
              <w:t>项目特征</w:t>
            </w:r>
          </w:p>
        </w:tc>
        <w:tc>
          <w:tcPr>
            <w:tcW w:w="1216" w:type="dxa"/>
            <w:vMerge w:val="restart"/>
            <w:tcBorders>
              <w:top w:val="single" w:color="000000" w:sz="14" w:space="0"/>
              <w:bottom w:val="nil"/>
            </w:tcBorders>
            <w:vAlign w:val="center"/>
          </w:tcPr>
          <w:p>
            <w:pPr>
              <w:pStyle w:val="12"/>
              <w:spacing w:line="265" w:lineRule="auto"/>
              <w:jc w:val="center"/>
            </w:pPr>
          </w:p>
          <w:p>
            <w:pPr>
              <w:spacing w:before="58" w:line="226" w:lineRule="auto"/>
              <w:ind w:left="79" w:right="53" w:hanging="1"/>
              <w:jc w:val="center"/>
              <w:rPr>
                <w:rFonts w:ascii="宋体" w:hAnsi="宋体" w:eastAsia="宋体" w:cs="宋体"/>
                <w:sz w:val="18"/>
                <w:szCs w:val="18"/>
              </w:rPr>
            </w:pPr>
            <w:r>
              <w:rPr>
                <w:rFonts w:ascii="宋体" w:hAnsi="宋体" w:eastAsia="宋体" w:cs="宋体"/>
                <w:spacing w:val="-4"/>
                <w:sz w:val="18"/>
                <w:szCs w:val="18"/>
              </w:rPr>
              <w:t>计量</w:t>
            </w:r>
            <w:r>
              <w:rPr>
                <w:rFonts w:ascii="宋体" w:hAnsi="宋体" w:eastAsia="宋体" w:cs="宋体"/>
                <w:spacing w:val="-5"/>
                <w:sz w:val="18"/>
                <w:szCs w:val="18"/>
              </w:rPr>
              <w:t>单位</w:t>
            </w:r>
          </w:p>
        </w:tc>
        <w:tc>
          <w:tcPr>
            <w:tcW w:w="2084" w:type="dxa"/>
            <w:vMerge w:val="restart"/>
            <w:tcBorders>
              <w:top w:val="single" w:color="000000" w:sz="14" w:space="0"/>
              <w:bottom w:val="nil"/>
            </w:tcBorders>
            <w:vAlign w:val="center"/>
          </w:tcPr>
          <w:p>
            <w:pPr>
              <w:pStyle w:val="12"/>
              <w:spacing w:line="378" w:lineRule="auto"/>
              <w:jc w:val="center"/>
            </w:pPr>
          </w:p>
          <w:p>
            <w:pPr>
              <w:spacing w:before="59" w:line="221" w:lineRule="auto"/>
              <w:ind w:left="168"/>
              <w:jc w:val="center"/>
              <w:rPr>
                <w:rFonts w:ascii="宋体" w:hAnsi="宋体" w:eastAsia="宋体" w:cs="宋体"/>
                <w:sz w:val="18"/>
                <w:szCs w:val="18"/>
              </w:rPr>
            </w:pPr>
            <w:r>
              <w:rPr>
                <w:rFonts w:ascii="宋体" w:hAnsi="宋体" w:eastAsia="宋体" w:cs="宋体"/>
                <w:spacing w:val="-4"/>
                <w:sz w:val="18"/>
                <w:szCs w:val="18"/>
              </w:rPr>
              <w:t>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3" w:hRule="atLeast"/>
        </w:trPr>
        <w:tc>
          <w:tcPr>
            <w:tcW w:w="650" w:type="dxa"/>
            <w:vMerge w:val="continue"/>
            <w:tcBorders>
              <w:top w:val="nil"/>
              <w:left w:val="single" w:color="000000" w:sz="14" w:space="0"/>
            </w:tcBorders>
            <w:vAlign w:val="center"/>
          </w:tcPr>
          <w:p>
            <w:pPr>
              <w:pStyle w:val="12"/>
              <w:jc w:val="center"/>
            </w:pPr>
          </w:p>
        </w:tc>
        <w:tc>
          <w:tcPr>
            <w:tcW w:w="1150" w:type="dxa"/>
            <w:vMerge w:val="continue"/>
            <w:tcBorders>
              <w:top w:val="nil"/>
            </w:tcBorders>
            <w:vAlign w:val="center"/>
          </w:tcPr>
          <w:p>
            <w:pPr>
              <w:pStyle w:val="12"/>
              <w:jc w:val="center"/>
            </w:pPr>
          </w:p>
        </w:tc>
        <w:tc>
          <w:tcPr>
            <w:tcW w:w="2754" w:type="dxa"/>
            <w:vMerge w:val="continue"/>
            <w:tcBorders>
              <w:top w:val="nil"/>
            </w:tcBorders>
            <w:vAlign w:val="center"/>
          </w:tcPr>
          <w:p>
            <w:pPr>
              <w:pStyle w:val="12"/>
              <w:jc w:val="center"/>
            </w:pPr>
          </w:p>
        </w:tc>
        <w:tc>
          <w:tcPr>
            <w:tcW w:w="6217" w:type="dxa"/>
            <w:vMerge w:val="continue"/>
            <w:tcBorders>
              <w:top w:val="nil"/>
            </w:tcBorders>
            <w:vAlign w:val="center"/>
          </w:tcPr>
          <w:p>
            <w:pPr>
              <w:pStyle w:val="12"/>
              <w:jc w:val="center"/>
            </w:pPr>
          </w:p>
        </w:tc>
        <w:tc>
          <w:tcPr>
            <w:tcW w:w="1216" w:type="dxa"/>
            <w:vMerge w:val="continue"/>
            <w:tcBorders>
              <w:top w:val="nil"/>
            </w:tcBorders>
            <w:vAlign w:val="center"/>
          </w:tcPr>
          <w:p>
            <w:pPr>
              <w:pStyle w:val="12"/>
              <w:jc w:val="center"/>
            </w:pPr>
          </w:p>
        </w:tc>
        <w:tc>
          <w:tcPr>
            <w:tcW w:w="2084" w:type="dxa"/>
            <w:vMerge w:val="continue"/>
            <w:tcBorders>
              <w:top w:val="nil"/>
            </w:tcBorders>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50" w:type="dxa"/>
            <w:tcBorders>
              <w:left w:val="single" w:color="000000" w:sz="14" w:space="0"/>
            </w:tcBorders>
            <w:vAlign w:val="center"/>
          </w:tcPr>
          <w:p>
            <w:pPr>
              <w:spacing w:before="197" w:line="184" w:lineRule="auto"/>
              <w:ind w:left="290"/>
              <w:jc w:val="center"/>
              <w:rPr>
                <w:rFonts w:ascii="宋体" w:hAnsi="宋体" w:eastAsia="宋体" w:cs="宋体"/>
                <w:sz w:val="18"/>
                <w:szCs w:val="18"/>
              </w:rPr>
            </w:pPr>
            <w:r>
              <w:rPr>
                <w:rFonts w:ascii="宋体" w:hAnsi="宋体" w:eastAsia="宋体" w:cs="宋体"/>
                <w:sz w:val="18"/>
                <w:szCs w:val="18"/>
              </w:rPr>
              <w:t>1</w:t>
            </w:r>
          </w:p>
        </w:tc>
        <w:tc>
          <w:tcPr>
            <w:tcW w:w="1150" w:type="dxa"/>
            <w:vAlign w:val="center"/>
          </w:tcPr>
          <w:p>
            <w:pPr>
              <w:spacing w:before="87" w:line="184" w:lineRule="auto"/>
              <w:ind w:left="55"/>
              <w:jc w:val="center"/>
              <w:rPr>
                <w:rFonts w:ascii="宋体" w:hAnsi="宋体" w:eastAsia="宋体" w:cs="宋体"/>
                <w:sz w:val="18"/>
                <w:szCs w:val="18"/>
              </w:rPr>
            </w:pPr>
            <w:r>
              <w:rPr>
                <w:rFonts w:ascii="宋体" w:hAnsi="宋体" w:eastAsia="宋体" w:cs="宋体"/>
                <w:sz w:val="18"/>
                <w:szCs w:val="18"/>
              </w:rPr>
              <w:t>0602110010</w:t>
            </w:r>
          </w:p>
          <w:p>
            <w:pPr>
              <w:spacing w:before="45" w:line="184" w:lineRule="auto"/>
              <w:ind w:left="420"/>
              <w:jc w:val="center"/>
              <w:rPr>
                <w:rFonts w:ascii="宋体" w:hAnsi="宋体" w:eastAsia="宋体" w:cs="宋体"/>
                <w:sz w:val="18"/>
                <w:szCs w:val="18"/>
              </w:rPr>
            </w:pPr>
            <w:r>
              <w:rPr>
                <w:rFonts w:ascii="宋体" w:hAnsi="宋体" w:eastAsia="宋体" w:cs="宋体"/>
                <w:spacing w:val="-4"/>
                <w:sz w:val="18"/>
                <w:szCs w:val="18"/>
              </w:rPr>
              <w:t>01</w:t>
            </w:r>
          </w:p>
        </w:tc>
        <w:tc>
          <w:tcPr>
            <w:tcW w:w="2754" w:type="dxa"/>
            <w:vAlign w:val="center"/>
          </w:tcPr>
          <w:p>
            <w:pPr>
              <w:spacing w:before="169" w:line="221" w:lineRule="auto"/>
              <w:ind w:left="32"/>
              <w:jc w:val="center"/>
              <w:rPr>
                <w:rFonts w:ascii="宋体" w:hAnsi="宋体" w:eastAsia="宋体" w:cs="宋体"/>
                <w:sz w:val="18"/>
                <w:szCs w:val="18"/>
              </w:rPr>
            </w:pPr>
            <w:r>
              <w:rPr>
                <w:rFonts w:ascii="宋体" w:hAnsi="宋体" w:eastAsia="宋体" w:cs="宋体"/>
                <w:spacing w:val="-3"/>
                <w:sz w:val="18"/>
                <w:szCs w:val="18"/>
              </w:rPr>
              <w:t>天溜井掘进</w:t>
            </w:r>
          </w:p>
        </w:tc>
        <w:tc>
          <w:tcPr>
            <w:tcW w:w="6217" w:type="dxa"/>
            <w:vAlign w:val="center"/>
          </w:tcPr>
          <w:p>
            <w:pPr>
              <w:spacing w:before="170" w:line="220" w:lineRule="auto"/>
              <w:ind w:left="202"/>
              <w:jc w:val="center"/>
              <w:rPr>
                <w:rFonts w:ascii="宋体" w:hAnsi="宋体" w:eastAsia="宋体" w:cs="宋体"/>
                <w:sz w:val="18"/>
                <w:szCs w:val="18"/>
              </w:rPr>
            </w:pPr>
            <w:r>
              <w:rPr>
                <w:rFonts w:ascii="宋体" w:hAnsi="宋体" w:eastAsia="宋体" w:cs="宋体"/>
                <w:spacing w:val="-2"/>
                <w:sz w:val="18"/>
                <w:szCs w:val="18"/>
              </w:rPr>
              <w:t>1.岩石类别:f=2.4</w:t>
            </w:r>
          </w:p>
        </w:tc>
        <w:tc>
          <w:tcPr>
            <w:tcW w:w="1216" w:type="dxa"/>
            <w:vAlign w:val="center"/>
          </w:tcPr>
          <w:p>
            <w:pPr>
              <w:spacing w:before="170"/>
              <w:ind w:left="162"/>
              <w:jc w:val="center"/>
              <w:rPr>
                <w:rFonts w:ascii="宋体" w:hAnsi="宋体" w:eastAsia="宋体" w:cs="宋体"/>
                <w:sz w:val="18"/>
                <w:szCs w:val="18"/>
              </w:rPr>
            </w:pPr>
            <w:r>
              <w:rPr>
                <w:rFonts w:ascii="宋体" w:hAnsi="宋体" w:eastAsia="宋体" w:cs="宋体"/>
                <w:spacing w:val="-1"/>
                <w:sz w:val="18"/>
                <w:szCs w:val="18"/>
              </w:rPr>
              <w:t>m3</w:t>
            </w:r>
          </w:p>
        </w:tc>
        <w:tc>
          <w:tcPr>
            <w:tcW w:w="2084" w:type="dxa"/>
            <w:vAlign w:val="center"/>
          </w:tcPr>
          <w:p>
            <w:pPr>
              <w:spacing w:before="198" w:line="183" w:lineRule="auto"/>
              <w:ind w:right="11"/>
              <w:jc w:val="center"/>
              <w:rPr>
                <w:rFonts w:ascii="宋体" w:hAnsi="宋体" w:eastAsia="宋体" w:cs="宋体"/>
                <w:sz w:val="18"/>
                <w:szCs w:val="18"/>
              </w:rPr>
            </w:pPr>
            <w:r>
              <w:rPr>
                <w:rFonts w:ascii="宋体" w:hAnsi="宋体" w:eastAsia="宋体" w:cs="宋体"/>
                <w:spacing w:val="-2"/>
                <w:sz w:val="18"/>
                <w:szCs w:val="18"/>
              </w:rPr>
              <w:t>852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50" w:type="dxa"/>
            <w:tcBorders>
              <w:left w:val="single" w:color="000000" w:sz="14" w:space="0"/>
            </w:tcBorders>
            <w:vAlign w:val="center"/>
          </w:tcPr>
          <w:p>
            <w:pPr>
              <w:spacing w:before="202" w:line="183" w:lineRule="auto"/>
              <w:ind w:left="279"/>
              <w:jc w:val="center"/>
              <w:rPr>
                <w:rFonts w:ascii="宋体" w:hAnsi="宋体" w:eastAsia="宋体" w:cs="宋体"/>
                <w:sz w:val="18"/>
                <w:szCs w:val="18"/>
              </w:rPr>
            </w:pPr>
            <w:r>
              <w:rPr>
                <w:rFonts w:ascii="宋体" w:hAnsi="宋体" w:eastAsia="宋体" w:cs="宋体"/>
                <w:sz w:val="18"/>
                <w:szCs w:val="18"/>
              </w:rPr>
              <w:t>2</w:t>
            </w:r>
          </w:p>
        </w:tc>
        <w:tc>
          <w:tcPr>
            <w:tcW w:w="1150" w:type="dxa"/>
            <w:vAlign w:val="center"/>
          </w:tcPr>
          <w:p>
            <w:pPr>
              <w:spacing w:before="89" w:line="183" w:lineRule="auto"/>
              <w:ind w:left="55"/>
              <w:jc w:val="center"/>
              <w:rPr>
                <w:rFonts w:ascii="宋体" w:hAnsi="宋体" w:eastAsia="宋体" w:cs="宋体"/>
                <w:sz w:val="18"/>
                <w:szCs w:val="18"/>
              </w:rPr>
            </w:pPr>
            <w:r>
              <w:rPr>
                <w:rFonts w:ascii="宋体" w:hAnsi="宋体" w:eastAsia="宋体" w:cs="宋体"/>
                <w:sz w:val="18"/>
                <w:szCs w:val="18"/>
              </w:rPr>
              <w:t>0602020020</w:t>
            </w:r>
          </w:p>
          <w:p>
            <w:pPr>
              <w:spacing w:before="46" w:line="184" w:lineRule="auto"/>
              <w:ind w:left="420"/>
              <w:jc w:val="center"/>
              <w:rPr>
                <w:rFonts w:ascii="宋体" w:hAnsi="宋体" w:eastAsia="宋体" w:cs="宋体"/>
                <w:sz w:val="18"/>
                <w:szCs w:val="18"/>
              </w:rPr>
            </w:pPr>
            <w:r>
              <w:rPr>
                <w:rFonts w:ascii="宋体" w:hAnsi="宋体" w:eastAsia="宋体" w:cs="宋体"/>
                <w:spacing w:val="-4"/>
                <w:sz w:val="18"/>
                <w:szCs w:val="18"/>
              </w:rPr>
              <w:t>01</w:t>
            </w:r>
          </w:p>
        </w:tc>
        <w:tc>
          <w:tcPr>
            <w:tcW w:w="2754" w:type="dxa"/>
            <w:vAlign w:val="center"/>
          </w:tcPr>
          <w:p>
            <w:pPr>
              <w:spacing w:before="60" w:line="225" w:lineRule="auto"/>
              <w:ind w:left="29" w:right="111" w:firstLine="2"/>
              <w:jc w:val="center"/>
              <w:rPr>
                <w:rFonts w:ascii="宋体" w:hAnsi="宋体" w:eastAsia="宋体" w:cs="宋体"/>
                <w:sz w:val="18"/>
                <w:szCs w:val="18"/>
              </w:rPr>
            </w:pPr>
            <w:r>
              <w:rPr>
                <w:rFonts w:ascii="宋体" w:hAnsi="宋体" w:eastAsia="宋体" w:cs="宋体"/>
                <w:spacing w:val="-2"/>
                <w:sz w:val="18"/>
                <w:szCs w:val="18"/>
              </w:rPr>
              <w:t>溜煤眼反井钻机</w:t>
            </w:r>
            <w:r>
              <w:rPr>
                <w:rFonts w:ascii="宋体" w:hAnsi="宋体" w:eastAsia="宋体" w:cs="宋体"/>
                <w:spacing w:val="3"/>
                <w:sz w:val="18"/>
                <w:szCs w:val="18"/>
              </w:rPr>
              <w:t xml:space="preserve"> </w:t>
            </w:r>
            <w:r>
              <w:rPr>
                <w:rFonts w:ascii="宋体" w:hAnsi="宋体" w:eastAsia="宋体" w:cs="宋体"/>
                <w:spacing w:val="-4"/>
                <w:sz w:val="18"/>
                <w:szCs w:val="18"/>
              </w:rPr>
              <w:t>钻井</w:t>
            </w:r>
          </w:p>
        </w:tc>
        <w:tc>
          <w:tcPr>
            <w:tcW w:w="6217" w:type="dxa"/>
            <w:vAlign w:val="center"/>
          </w:tcPr>
          <w:p>
            <w:pPr>
              <w:spacing w:before="174" w:line="220" w:lineRule="auto"/>
              <w:ind w:left="202"/>
              <w:jc w:val="center"/>
              <w:rPr>
                <w:rFonts w:ascii="宋体" w:hAnsi="宋体" w:eastAsia="宋体" w:cs="宋体"/>
                <w:sz w:val="18"/>
                <w:szCs w:val="18"/>
              </w:rPr>
            </w:pPr>
            <w:r>
              <w:rPr>
                <w:rFonts w:ascii="宋体" w:hAnsi="宋体" w:eastAsia="宋体" w:cs="宋体"/>
                <w:spacing w:val="-2"/>
                <w:sz w:val="18"/>
                <w:szCs w:val="18"/>
              </w:rPr>
              <w:t>1.岩石类别:f=2.4</w:t>
            </w:r>
          </w:p>
        </w:tc>
        <w:tc>
          <w:tcPr>
            <w:tcW w:w="1216" w:type="dxa"/>
            <w:vAlign w:val="center"/>
          </w:tcPr>
          <w:p>
            <w:pPr>
              <w:spacing w:before="173" w:line="242" w:lineRule="auto"/>
              <w:ind w:left="207"/>
              <w:jc w:val="center"/>
              <w:rPr>
                <w:rFonts w:ascii="宋体" w:hAnsi="宋体" w:eastAsia="宋体" w:cs="宋体"/>
                <w:sz w:val="18"/>
                <w:szCs w:val="18"/>
              </w:rPr>
            </w:pPr>
            <w:r>
              <w:rPr>
                <w:rFonts w:ascii="宋体" w:hAnsi="宋体" w:eastAsia="宋体" w:cs="宋体"/>
                <w:sz w:val="18"/>
                <w:szCs w:val="18"/>
              </w:rPr>
              <w:t>m</w:t>
            </w:r>
          </w:p>
        </w:tc>
        <w:tc>
          <w:tcPr>
            <w:tcW w:w="2084" w:type="dxa"/>
            <w:vAlign w:val="center"/>
          </w:tcPr>
          <w:p>
            <w:pPr>
              <w:spacing w:before="202" w:line="183" w:lineRule="auto"/>
              <w:ind w:right="11"/>
              <w:jc w:val="center"/>
              <w:rPr>
                <w:rFonts w:ascii="宋体" w:hAnsi="宋体" w:eastAsia="宋体" w:cs="宋体"/>
                <w:sz w:val="18"/>
                <w:szCs w:val="18"/>
              </w:rPr>
            </w:pPr>
            <w:r>
              <w:rPr>
                <w:rFonts w:ascii="宋体" w:hAnsi="宋体" w:eastAsia="宋体" w:cs="宋体"/>
                <w:spacing w:val="-3"/>
                <w:sz w:val="18"/>
                <w:szCs w:val="18"/>
              </w:rPr>
              <w:t>37</w:t>
            </w:r>
            <w:r>
              <w:rPr>
                <w:rFonts w:hint="eastAsia" w:ascii="宋体" w:hAnsi="宋体" w:eastAsia="宋体" w:cs="宋体"/>
                <w:spacing w:val="-3"/>
                <w:sz w:val="18"/>
                <w:szCs w:val="18"/>
                <w:lang w:val="en-US" w:eastAsia="zh-CN"/>
              </w:rPr>
              <w:t>.</w:t>
            </w:r>
            <w:r>
              <w:rPr>
                <w:rFonts w:ascii="宋体" w:hAnsi="宋体" w:eastAsia="宋体" w:cs="宋体"/>
                <w:spacing w:val="-3"/>
                <w:sz w:val="18"/>
                <w:szCs w:val="18"/>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50" w:type="dxa"/>
            <w:tcBorders>
              <w:left w:val="single" w:color="000000" w:sz="14" w:space="0"/>
            </w:tcBorders>
            <w:vAlign w:val="center"/>
          </w:tcPr>
          <w:p>
            <w:pPr>
              <w:spacing w:before="201" w:line="183" w:lineRule="auto"/>
              <w:ind w:left="280"/>
              <w:jc w:val="center"/>
              <w:rPr>
                <w:rFonts w:ascii="宋体" w:hAnsi="宋体" w:eastAsia="宋体" w:cs="宋体"/>
                <w:sz w:val="18"/>
                <w:szCs w:val="18"/>
              </w:rPr>
            </w:pPr>
            <w:r>
              <w:rPr>
                <w:rFonts w:ascii="宋体" w:hAnsi="宋体" w:eastAsia="宋体" w:cs="宋体"/>
                <w:sz w:val="18"/>
                <w:szCs w:val="18"/>
              </w:rPr>
              <w:t>3</w:t>
            </w:r>
          </w:p>
        </w:tc>
        <w:tc>
          <w:tcPr>
            <w:tcW w:w="1150" w:type="dxa"/>
            <w:vAlign w:val="center"/>
          </w:tcPr>
          <w:p>
            <w:pPr>
              <w:spacing w:before="91" w:line="183" w:lineRule="auto"/>
              <w:ind w:left="55"/>
              <w:jc w:val="center"/>
              <w:rPr>
                <w:rFonts w:ascii="宋体" w:hAnsi="宋体" w:eastAsia="宋体" w:cs="宋体"/>
                <w:sz w:val="18"/>
                <w:szCs w:val="18"/>
              </w:rPr>
            </w:pPr>
            <w:r>
              <w:rPr>
                <w:rFonts w:ascii="宋体" w:hAnsi="宋体" w:eastAsia="宋体" w:cs="宋体"/>
                <w:sz w:val="18"/>
                <w:szCs w:val="18"/>
              </w:rPr>
              <w:t>0602040070</w:t>
            </w:r>
          </w:p>
          <w:p>
            <w:pPr>
              <w:spacing w:before="44" w:line="183" w:lineRule="auto"/>
              <w:ind w:left="420"/>
              <w:jc w:val="center"/>
              <w:rPr>
                <w:rFonts w:ascii="宋体" w:hAnsi="宋体" w:eastAsia="宋体" w:cs="宋体"/>
                <w:sz w:val="18"/>
                <w:szCs w:val="18"/>
              </w:rPr>
            </w:pPr>
            <w:r>
              <w:rPr>
                <w:rFonts w:ascii="宋体" w:hAnsi="宋体" w:eastAsia="宋体" w:cs="宋体"/>
                <w:spacing w:val="-4"/>
                <w:sz w:val="18"/>
                <w:szCs w:val="18"/>
              </w:rPr>
              <w:t>03</w:t>
            </w:r>
          </w:p>
        </w:tc>
        <w:tc>
          <w:tcPr>
            <w:tcW w:w="2754" w:type="dxa"/>
            <w:vAlign w:val="center"/>
          </w:tcPr>
          <w:p>
            <w:pPr>
              <w:spacing w:before="62" w:line="224" w:lineRule="auto"/>
              <w:ind w:left="31" w:right="20" w:hanging="2"/>
              <w:jc w:val="center"/>
              <w:rPr>
                <w:rFonts w:ascii="宋体" w:hAnsi="宋体" w:eastAsia="宋体" w:cs="宋体"/>
                <w:sz w:val="18"/>
                <w:szCs w:val="18"/>
              </w:rPr>
            </w:pPr>
            <w:r>
              <w:rPr>
                <w:rFonts w:ascii="宋体" w:hAnsi="宋体" w:eastAsia="宋体" w:cs="宋体"/>
                <w:spacing w:val="-1"/>
                <w:sz w:val="18"/>
                <w:szCs w:val="18"/>
              </w:rPr>
              <w:t>立井井筒锚杆(锚</w:t>
            </w:r>
            <w:r>
              <w:rPr>
                <w:rFonts w:ascii="宋体" w:hAnsi="宋体" w:eastAsia="宋体" w:cs="宋体"/>
                <w:sz w:val="18"/>
                <w:szCs w:val="18"/>
              </w:rPr>
              <w:t xml:space="preserve"> </w:t>
            </w:r>
            <w:r>
              <w:rPr>
                <w:rFonts w:ascii="宋体" w:hAnsi="宋体" w:eastAsia="宋体" w:cs="宋体"/>
                <w:spacing w:val="-2"/>
                <w:sz w:val="18"/>
                <w:szCs w:val="18"/>
              </w:rPr>
              <w:t>索)架设支护</w:t>
            </w:r>
          </w:p>
        </w:tc>
        <w:tc>
          <w:tcPr>
            <w:tcW w:w="6217" w:type="dxa"/>
            <w:vAlign w:val="center"/>
          </w:tcPr>
          <w:p>
            <w:pPr>
              <w:spacing w:before="62" w:line="224" w:lineRule="auto"/>
              <w:ind w:right="261" w:firstLine="168" w:firstLineChars="100"/>
              <w:jc w:val="center"/>
              <w:rPr>
                <w:rFonts w:ascii="宋体" w:hAnsi="宋体" w:eastAsia="宋体" w:cs="宋体"/>
                <w:sz w:val="18"/>
                <w:szCs w:val="18"/>
              </w:rPr>
            </w:pPr>
            <w:r>
              <w:rPr>
                <w:rFonts w:ascii="宋体" w:hAnsi="宋体" w:eastAsia="宋体" w:cs="宋体"/>
                <w:spacing w:val="-6"/>
                <w:sz w:val="18"/>
                <w:szCs w:val="18"/>
              </w:rPr>
              <w:t>1.锚杆类型:</w:t>
            </w:r>
            <w:r>
              <w:rPr>
                <w:rFonts w:ascii="宋体" w:hAnsi="宋体" w:eastAsia="宋体" w:cs="宋体"/>
                <w:spacing w:val="-60"/>
                <w:sz w:val="18"/>
                <w:szCs w:val="18"/>
              </w:rPr>
              <w:t xml:space="preserve"> </w:t>
            </w:r>
            <w:r>
              <w:rPr>
                <w:rFonts w:ascii="宋体" w:hAnsi="宋体" w:eastAsia="宋体" w:cs="宋体"/>
                <w:spacing w:val="-6"/>
                <w:sz w:val="18"/>
                <w:szCs w:val="18"/>
              </w:rPr>
              <w:t>Φ</w:t>
            </w:r>
            <w:r>
              <w:rPr>
                <w:rFonts w:ascii="宋体" w:hAnsi="宋体" w:eastAsia="宋体" w:cs="宋体"/>
                <w:sz w:val="18"/>
                <w:szCs w:val="18"/>
              </w:rPr>
              <w:t xml:space="preserve"> 22×2400mm锚杆</w:t>
            </w:r>
          </w:p>
        </w:tc>
        <w:tc>
          <w:tcPr>
            <w:tcW w:w="1216" w:type="dxa"/>
            <w:vAlign w:val="center"/>
          </w:tcPr>
          <w:p>
            <w:pPr>
              <w:spacing w:before="172" w:line="221" w:lineRule="auto"/>
              <w:ind w:left="169"/>
              <w:jc w:val="center"/>
              <w:rPr>
                <w:rFonts w:ascii="宋体" w:hAnsi="宋体" w:eastAsia="宋体" w:cs="宋体"/>
                <w:sz w:val="18"/>
                <w:szCs w:val="18"/>
              </w:rPr>
            </w:pPr>
            <w:r>
              <w:rPr>
                <w:rFonts w:ascii="宋体" w:hAnsi="宋体" w:eastAsia="宋体" w:cs="宋体"/>
                <w:sz w:val="18"/>
                <w:szCs w:val="18"/>
              </w:rPr>
              <w:t>根</w:t>
            </w:r>
          </w:p>
        </w:tc>
        <w:tc>
          <w:tcPr>
            <w:tcW w:w="2084" w:type="dxa"/>
            <w:vAlign w:val="center"/>
          </w:tcPr>
          <w:p>
            <w:pPr>
              <w:spacing w:before="201" w:line="183" w:lineRule="auto"/>
              <w:ind w:right="11"/>
              <w:jc w:val="center"/>
              <w:rPr>
                <w:rFonts w:ascii="宋体" w:hAnsi="宋体" w:eastAsia="宋体" w:cs="宋体"/>
                <w:sz w:val="18"/>
                <w:szCs w:val="18"/>
              </w:rPr>
            </w:pPr>
            <w:r>
              <w:rPr>
                <w:rFonts w:ascii="宋体" w:hAnsi="宋体" w:eastAsia="宋体" w:cs="宋体"/>
                <w:spacing w:val="-3"/>
                <w:sz w:val="18"/>
                <w:szCs w:val="18"/>
              </w:rPr>
              <w:t>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50" w:type="dxa"/>
            <w:tcBorders>
              <w:left w:val="single" w:color="000000" w:sz="14" w:space="0"/>
            </w:tcBorders>
            <w:vAlign w:val="center"/>
          </w:tcPr>
          <w:p>
            <w:pPr>
              <w:spacing w:before="205" w:line="183" w:lineRule="auto"/>
              <w:ind w:left="276"/>
              <w:jc w:val="center"/>
              <w:rPr>
                <w:rFonts w:ascii="宋体" w:hAnsi="宋体" w:eastAsia="宋体" w:cs="宋体"/>
                <w:sz w:val="18"/>
                <w:szCs w:val="18"/>
              </w:rPr>
            </w:pPr>
            <w:r>
              <w:rPr>
                <w:rFonts w:ascii="宋体" w:hAnsi="宋体" w:eastAsia="宋体" w:cs="宋体"/>
                <w:sz w:val="18"/>
                <w:szCs w:val="18"/>
              </w:rPr>
              <w:t>4</w:t>
            </w:r>
          </w:p>
        </w:tc>
        <w:tc>
          <w:tcPr>
            <w:tcW w:w="1150" w:type="dxa"/>
            <w:vAlign w:val="center"/>
          </w:tcPr>
          <w:p>
            <w:pPr>
              <w:spacing w:before="92" w:line="183" w:lineRule="auto"/>
              <w:ind w:left="55"/>
              <w:jc w:val="center"/>
              <w:rPr>
                <w:rFonts w:ascii="宋体" w:hAnsi="宋体" w:eastAsia="宋体" w:cs="宋体"/>
                <w:sz w:val="18"/>
                <w:szCs w:val="18"/>
              </w:rPr>
            </w:pPr>
            <w:r>
              <w:rPr>
                <w:rFonts w:ascii="宋体" w:hAnsi="宋体" w:eastAsia="宋体" w:cs="宋体"/>
                <w:sz w:val="18"/>
                <w:szCs w:val="18"/>
              </w:rPr>
              <w:t>0602040070</w:t>
            </w:r>
          </w:p>
          <w:p>
            <w:pPr>
              <w:spacing w:before="46" w:line="184" w:lineRule="auto"/>
              <w:ind w:left="420"/>
              <w:jc w:val="center"/>
              <w:rPr>
                <w:rFonts w:ascii="宋体" w:hAnsi="宋体" w:eastAsia="宋体" w:cs="宋体"/>
                <w:sz w:val="18"/>
                <w:szCs w:val="18"/>
              </w:rPr>
            </w:pPr>
            <w:r>
              <w:rPr>
                <w:rFonts w:ascii="宋体" w:hAnsi="宋体" w:eastAsia="宋体" w:cs="宋体"/>
                <w:spacing w:val="-4"/>
                <w:sz w:val="18"/>
                <w:szCs w:val="18"/>
              </w:rPr>
              <w:t>01</w:t>
            </w:r>
          </w:p>
        </w:tc>
        <w:tc>
          <w:tcPr>
            <w:tcW w:w="2754" w:type="dxa"/>
            <w:vAlign w:val="center"/>
          </w:tcPr>
          <w:p>
            <w:pPr>
              <w:spacing w:before="64" w:line="223" w:lineRule="auto"/>
              <w:ind w:left="31" w:right="200"/>
              <w:jc w:val="center"/>
              <w:rPr>
                <w:rFonts w:ascii="宋体" w:hAnsi="宋体" w:eastAsia="宋体" w:cs="宋体"/>
                <w:sz w:val="18"/>
                <w:szCs w:val="18"/>
              </w:rPr>
            </w:pPr>
            <w:r>
              <w:rPr>
                <w:rFonts w:ascii="宋体" w:hAnsi="宋体" w:eastAsia="宋体" w:cs="宋体"/>
                <w:spacing w:val="-2"/>
                <w:sz w:val="18"/>
                <w:szCs w:val="18"/>
              </w:rPr>
              <w:t>溜煤眼支护(锚</w:t>
            </w:r>
            <w:r>
              <w:rPr>
                <w:rFonts w:ascii="宋体" w:hAnsi="宋体" w:eastAsia="宋体" w:cs="宋体"/>
                <w:spacing w:val="4"/>
                <w:sz w:val="18"/>
                <w:szCs w:val="18"/>
              </w:rPr>
              <w:t xml:space="preserve"> </w:t>
            </w:r>
            <w:r>
              <w:rPr>
                <w:rFonts w:ascii="宋体" w:hAnsi="宋体" w:eastAsia="宋体" w:cs="宋体"/>
                <w:spacing w:val="-2"/>
                <w:sz w:val="18"/>
                <w:szCs w:val="18"/>
              </w:rPr>
              <w:t>索)架设支护</w:t>
            </w:r>
          </w:p>
        </w:tc>
        <w:tc>
          <w:tcPr>
            <w:tcW w:w="6217" w:type="dxa"/>
            <w:vAlign w:val="center"/>
          </w:tcPr>
          <w:p>
            <w:pPr>
              <w:spacing w:before="64" w:line="223" w:lineRule="auto"/>
              <w:ind w:right="261" w:firstLine="168" w:firstLineChars="100"/>
              <w:jc w:val="center"/>
              <w:rPr>
                <w:rFonts w:ascii="宋体" w:hAnsi="宋体" w:eastAsia="宋体" w:cs="宋体"/>
                <w:sz w:val="18"/>
                <w:szCs w:val="18"/>
              </w:rPr>
            </w:pPr>
            <w:r>
              <w:rPr>
                <w:rFonts w:ascii="宋体" w:hAnsi="宋体" w:eastAsia="宋体" w:cs="宋体"/>
                <w:spacing w:val="-6"/>
                <w:sz w:val="18"/>
                <w:szCs w:val="18"/>
              </w:rPr>
              <w:t>1.锚杆类型:</w:t>
            </w:r>
            <w:r>
              <w:rPr>
                <w:rFonts w:ascii="宋体" w:hAnsi="宋体" w:eastAsia="宋体" w:cs="宋体"/>
                <w:spacing w:val="-60"/>
                <w:sz w:val="18"/>
                <w:szCs w:val="18"/>
              </w:rPr>
              <w:t xml:space="preserve"> </w:t>
            </w:r>
            <w:r>
              <w:rPr>
                <w:rFonts w:ascii="宋体" w:hAnsi="宋体" w:eastAsia="宋体" w:cs="宋体"/>
                <w:spacing w:val="-6"/>
                <w:sz w:val="18"/>
                <w:szCs w:val="18"/>
              </w:rPr>
              <w:t>Φ</w:t>
            </w:r>
            <w:r>
              <w:rPr>
                <w:rFonts w:ascii="宋体" w:hAnsi="宋体" w:eastAsia="宋体" w:cs="宋体"/>
                <w:sz w:val="18"/>
                <w:szCs w:val="18"/>
              </w:rPr>
              <w:t xml:space="preserve"> 22×2000mm锚杆</w:t>
            </w:r>
          </w:p>
        </w:tc>
        <w:tc>
          <w:tcPr>
            <w:tcW w:w="1216" w:type="dxa"/>
            <w:vAlign w:val="center"/>
          </w:tcPr>
          <w:p>
            <w:pPr>
              <w:spacing w:before="176" w:line="221" w:lineRule="auto"/>
              <w:ind w:left="169"/>
              <w:jc w:val="center"/>
              <w:rPr>
                <w:rFonts w:ascii="宋体" w:hAnsi="宋体" w:eastAsia="宋体" w:cs="宋体"/>
                <w:sz w:val="18"/>
                <w:szCs w:val="18"/>
              </w:rPr>
            </w:pPr>
            <w:r>
              <w:rPr>
                <w:rFonts w:ascii="宋体" w:hAnsi="宋体" w:eastAsia="宋体" w:cs="宋体"/>
                <w:sz w:val="18"/>
                <w:szCs w:val="18"/>
              </w:rPr>
              <w:t>根</w:t>
            </w:r>
          </w:p>
        </w:tc>
        <w:tc>
          <w:tcPr>
            <w:tcW w:w="2084" w:type="dxa"/>
            <w:vAlign w:val="center"/>
          </w:tcPr>
          <w:p>
            <w:pPr>
              <w:spacing w:before="205" w:line="183" w:lineRule="auto"/>
              <w:ind w:right="11"/>
              <w:jc w:val="center"/>
              <w:rPr>
                <w:rFonts w:ascii="宋体" w:hAnsi="宋体" w:eastAsia="宋体" w:cs="宋体"/>
                <w:sz w:val="18"/>
                <w:szCs w:val="18"/>
              </w:rPr>
            </w:pPr>
            <w:r>
              <w:rPr>
                <w:rFonts w:ascii="宋体" w:hAnsi="宋体" w:eastAsia="宋体" w:cs="宋体"/>
                <w:spacing w:val="-3"/>
                <w:sz w:val="18"/>
                <w:szCs w:val="18"/>
              </w:rPr>
              <w:t>637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50" w:type="dxa"/>
            <w:tcBorders>
              <w:left w:val="single" w:color="000000" w:sz="14" w:space="0"/>
            </w:tcBorders>
            <w:vAlign w:val="center"/>
          </w:tcPr>
          <w:p>
            <w:pPr>
              <w:spacing w:before="208" w:line="182" w:lineRule="auto"/>
              <w:ind w:left="280"/>
              <w:jc w:val="center"/>
              <w:rPr>
                <w:rFonts w:ascii="宋体" w:hAnsi="宋体" w:eastAsia="宋体" w:cs="宋体"/>
                <w:sz w:val="18"/>
                <w:szCs w:val="18"/>
              </w:rPr>
            </w:pPr>
            <w:r>
              <w:rPr>
                <w:rFonts w:ascii="宋体" w:hAnsi="宋体" w:eastAsia="宋体" w:cs="宋体"/>
                <w:sz w:val="18"/>
                <w:szCs w:val="18"/>
              </w:rPr>
              <w:t>5</w:t>
            </w:r>
          </w:p>
        </w:tc>
        <w:tc>
          <w:tcPr>
            <w:tcW w:w="1150" w:type="dxa"/>
            <w:vAlign w:val="center"/>
          </w:tcPr>
          <w:p>
            <w:pPr>
              <w:spacing w:before="94" w:line="183" w:lineRule="auto"/>
              <w:ind w:left="55"/>
              <w:jc w:val="center"/>
              <w:rPr>
                <w:rFonts w:ascii="宋体" w:hAnsi="宋体" w:eastAsia="宋体" w:cs="宋体"/>
                <w:sz w:val="18"/>
                <w:szCs w:val="18"/>
              </w:rPr>
            </w:pPr>
            <w:r>
              <w:rPr>
                <w:rFonts w:ascii="宋体" w:hAnsi="宋体" w:eastAsia="宋体" w:cs="宋体"/>
                <w:sz w:val="18"/>
                <w:szCs w:val="18"/>
              </w:rPr>
              <w:t>0602040070</w:t>
            </w:r>
          </w:p>
          <w:p>
            <w:pPr>
              <w:spacing w:before="47" w:line="183" w:lineRule="auto"/>
              <w:ind w:left="420"/>
              <w:jc w:val="center"/>
              <w:rPr>
                <w:rFonts w:ascii="宋体" w:hAnsi="宋体" w:eastAsia="宋体" w:cs="宋体"/>
                <w:sz w:val="18"/>
                <w:szCs w:val="18"/>
              </w:rPr>
            </w:pPr>
            <w:r>
              <w:rPr>
                <w:rFonts w:ascii="宋体" w:hAnsi="宋体" w:eastAsia="宋体" w:cs="宋体"/>
                <w:spacing w:val="-4"/>
                <w:sz w:val="18"/>
                <w:szCs w:val="18"/>
              </w:rPr>
              <w:t>02</w:t>
            </w:r>
          </w:p>
        </w:tc>
        <w:tc>
          <w:tcPr>
            <w:tcW w:w="2754" w:type="dxa"/>
            <w:vAlign w:val="center"/>
          </w:tcPr>
          <w:p>
            <w:pPr>
              <w:spacing w:before="66" w:line="222" w:lineRule="auto"/>
              <w:ind w:left="31" w:right="20" w:hanging="2"/>
              <w:jc w:val="center"/>
              <w:rPr>
                <w:rFonts w:ascii="宋体" w:hAnsi="宋体" w:eastAsia="宋体" w:cs="宋体"/>
                <w:sz w:val="18"/>
                <w:szCs w:val="18"/>
              </w:rPr>
            </w:pPr>
            <w:r>
              <w:rPr>
                <w:rFonts w:ascii="宋体" w:hAnsi="宋体" w:eastAsia="宋体" w:cs="宋体"/>
                <w:spacing w:val="-1"/>
                <w:sz w:val="18"/>
                <w:szCs w:val="18"/>
              </w:rPr>
              <w:t>立井井筒锚杆(锚</w:t>
            </w:r>
            <w:r>
              <w:rPr>
                <w:rFonts w:ascii="宋体" w:hAnsi="宋体" w:eastAsia="宋体" w:cs="宋体"/>
                <w:sz w:val="18"/>
                <w:szCs w:val="18"/>
              </w:rPr>
              <w:t xml:space="preserve"> </w:t>
            </w:r>
            <w:r>
              <w:rPr>
                <w:rFonts w:ascii="宋体" w:hAnsi="宋体" w:eastAsia="宋体" w:cs="宋体"/>
                <w:spacing w:val="-2"/>
                <w:sz w:val="18"/>
                <w:szCs w:val="18"/>
              </w:rPr>
              <w:t>索)架设支护</w:t>
            </w:r>
          </w:p>
        </w:tc>
        <w:tc>
          <w:tcPr>
            <w:tcW w:w="6217" w:type="dxa"/>
            <w:vAlign w:val="center"/>
          </w:tcPr>
          <w:p>
            <w:pPr>
              <w:spacing w:before="66" w:line="222" w:lineRule="auto"/>
              <w:ind w:right="261" w:firstLine="168" w:firstLineChars="100"/>
              <w:jc w:val="center"/>
              <w:rPr>
                <w:rFonts w:ascii="宋体" w:hAnsi="宋体" w:eastAsia="宋体" w:cs="宋体"/>
                <w:sz w:val="18"/>
                <w:szCs w:val="18"/>
              </w:rPr>
            </w:pPr>
            <w:r>
              <w:rPr>
                <w:rFonts w:ascii="宋体" w:hAnsi="宋体" w:eastAsia="宋体" w:cs="宋体"/>
                <w:spacing w:val="-6"/>
                <w:sz w:val="18"/>
                <w:szCs w:val="18"/>
              </w:rPr>
              <w:t>1.锚索类型:</w:t>
            </w:r>
            <w:r>
              <w:rPr>
                <w:rFonts w:ascii="宋体" w:hAnsi="宋体" w:eastAsia="宋体" w:cs="宋体"/>
                <w:spacing w:val="-60"/>
                <w:sz w:val="18"/>
                <w:szCs w:val="18"/>
              </w:rPr>
              <w:t xml:space="preserve"> </w:t>
            </w:r>
            <w:r>
              <w:rPr>
                <w:rFonts w:ascii="宋体" w:hAnsi="宋体" w:eastAsia="宋体" w:cs="宋体"/>
                <w:spacing w:val="-6"/>
                <w:sz w:val="18"/>
                <w:szCs w:val="18"/>
              </w:rPr>
              <w:t>Φ</w:t>
            </w:r>
            <w:r>
              <w:rPr>
                <w:rFonts w:ascii="宋体" w:hAnsi="宋体" w:eastAsia="宋体" w:cs="宋体"/>
                <w:sz w:val="18"/>
                <w:szCs w:val="18"/>
              </w:rPr>
              <w:t xml:space="preserve"> 21.6mm×8000mm</w:t>
            </w:r>
          </w:p>
        </w:tc>
        <w:tc>
          <w:tcPr>
            <w:tcW w:w="1216" w:type="dxa"/>
            <w:vAlign w:val="center"/>
          </w:tcPr>
          <w:p>
            <w:pPr>
              <w:spacing w:before="178" w:line="221" w:lineRule="auto"/>
              <w:ind w:left="169"/>
              <w:jc w:val="center"/>
              <w:rPr>
                <w:rFonts w:ascii="宋体" w:hAnsi="宋体" w:eastAsia="宋体" w:cs="宋体"/>
                <w:sz w:val="18"/>
                <w:szCs w:val="18"/>
              </w:rPr>
            </w:pPr>
            <w:r>
              <w:rPr>
                <w:rFonts w:ascii="宋体" w:hAnsi="宋体" w:eastAsia="宋体" w:cs="宋体"/>
                <w:sz w:val="18"/>
                <w:szCs w:val="18"/>
              </w:rPr>
              <w:t>根</w:t>
            </w:r>
          </w:p>
        </w:tc>
        <w:tc>
          <w:tcPr>
            <w:tcW w:w="2084" w:type="dxa"/>
            <w:vAlign w:val="center"/>
          </w:tcPr>
          <w:p>
            <w:pPr>
              <w:spacing w:before="207" w:line="183" w:lineRule="auto"/>
              <w:ind w:right="11"/>
              <w:jc w:val="center"/>
              <w:rPr>
                <w:rFonts w:ascii="宋体" w:hAnsi="宋体" w:eastAsia="宋体" w:cs="宋体"/>
                <w:sz w:val="18"/>
                <w:szCs w:val="18"/>
              </w:rPr>
            </w:pPr>
            <w:r>
              <w:rPr>
                <w:rFonts w:ascii="宋体" w:hAnsi="宋体" w:eastAsia="宋体" w:cs="宋体"/>
                <w:spacing w:val="-5"/>
                <w:sz w:val="18"/>
                <w:szCs w:val="18"/>
              </w:rPr>
              <w:t>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50" w:type="dxa"/>
            <w:tcBorders>
              <w:left w:val="single" w:color="000000" w:sz="14" w:space="0"/>
            </w:tcBorders>
            <w:vAlign w:val="center"/>
          </w:tcPr>
          <w:p>
            <w:pPr>
              <w:spacing w:before="206" w:line="183" w:lineRule="auto"/>
              <w:ind w:left="278"/>
              <w:jc w:val="center"/>
              <w:rPr>
                <w:rFonts w:ascii="宋体" w:hAnsi="宋体" w:eastAsia="宋体" w:cs="宋体"/>
                <w:sz w:val="18"/>
                <w:szCs w:val="18"/>
              </w:rPr>
            </w:pPr>
            <w:r>
              <w:rPr>
                <w:rFonts w:ascii="宋体" w:hAnsi="宋体" w:eastAsia="宋体" w:cs="宋体"/>
                <w:sz w:val="18"/>
                <w:szCs w:val="18"/>
              </w:rPr>
              <w:t>6</w:t>
            </w:r>
          </w:p>
        </w:tc>
        <w:tc>
          <w:tcPr>
            <w:tcW w:w="1150" w:type="dxa"/>
            <w:vAlign w:val="center"/>
          </w:tcPr>
          <w:p>
            <w:pPr>
              <w:spacing w:before="95" w:line="184" w:lineRule="auto"/>
              <w:ind w:left="55"/>
              <w:jc w:val="center"/>
              <w:rPr>
                <w:rFonts w:ascii="宋体" w:hAnsi="宋体" w:eastAsia="宋体" w:cs="宋体"/>
                <w:sz w:val="18"/>
                <w:szCs w:val="18"/>
              </w:rPr>
            </w:pPr>
            <w:r>
              <w:rPr>
                <w:rFonts w:ascii="宋体" w:hAnsi="宋体" w:eastAsia="宋体" w:cs="宋体"/>
                <w:sz w:val="18"/>
                <w:szCs w:val="18"/>
              </w:rPr>
              <w:t>0602120170</w:t>
            </w:r>
          </w:p>
          <w:p>
            <w:pPr>
              <w:spacing w:before="46" w:line="182" w:lineRule="auto"/>
              <w:ind w:left="420"/>
              <w:jc w:val="center"/>
              <w:rPr>
                <w:rFonts w:ascii="宋体" w:hAnsi="宋体" w:eastAsia="宋体" w:cs="宋体"/>
                <w:sz w:val="18"/>
                <w:szCs w:val="18"/>
              </w:rPr>
            </w:pPr>
            <w:r>
              <w:rPr>
                <w:rFonts w:ascii="宋体" w:hAnsi="宋体" w:eastAsia="宋体" w:cs="宋体"/>
                <w:spacing w:val="-4"/>
                <w:sz w:val="18"/>
                <w:szCs w:val="18"/>
              </w:rPr>
              <w:t>04</w:t>
            </w:r>
          </w:p>
        </w:tc>
        <w:tc>
          <w:tcPr>
            <w:tcW w:w="2754" w:type="dxa"/>
            <w:vAlign w:val="center"/>
          </w:tcPr>
          <w:p>
            <w:pPr>
              <w:spacing w:before="68" w:line="221" w:lineRule="auto"/>
              <w:ind w:left="30" w:right="51"/>
              <w:jc w:val="center"/>
              <w:rPr>
                <w:rFonts w:ascii="宋体" w:hAnsi="宋体" w:eastAsia="宋体" w:cs="宋体"/>
                <w:sz w:val="18"/>
                <w:szCs w:val="18"/>
              </w:rPr>
            </w:pPr>
            <w:r>
              <w:rPr>
                <w:rFonts w:ascii="宋体" w:hAnsi="宋体" w:eastAsia="宋体" w:cs="宋体"/>
                <w:spacing w:val="-5"/>
                <w:sz w:val="18"/>
                <w:szCs w:val="18"/>
              </w:rPr>
              <w:t>金属网(塑料网、</w:t>
            </w:r>
            <w:r>
              <w:rPr>
                <w:rFonts w:ascii="宋体" w:hAnsi="宋体" w:eastAsia="宋体" w:cs="宋体"/>
                <w:sz w:val="18"/>
                <w:szCs w:val="18"/>
              </w:rPr>
              <w:t xml:space="preserve"> </w:t>
            </w:r>
            <w:r>
              <w:rPr>
                <w:rFonts w:ascii="宋体" w:hAnsi="宋体" w:eastAsia="宋体" w:cs="宋体"/>
                <w:spacing w:val="-3"/>
                <w:sz w:val="18"/>
                <w:szCs w:val="18"/>
              </w:rPr>
              <w:t>编织网)</w:t>
            </w:r>
          </w:p>
        </w:tc>
        <w:tc>
          <w:tcPr>
            <w:tcW w:w="6217" w:type="dxa"/>
            <w:vAlign w:val="center"/>
          </w:tcPr>
          <w:p>
            <w:pPr>
              <w:spacing w:before="178" w:line="220" w:lineRule="auto"/>
              <w:ind w:firstLine="172" w:firstLineChars="100"/>
              <w:jc w:val="center"/>
              <w:rPr>
                <w:rFonts w:ascii="宋体" w:hAnsi="宋体" w:eastAsia="宋体" w:cs="宋体"/>
                <w:sz w:val="18"/>
                <w:szCs w:val="18"/>
              </w:rPr>
            </w:pPr>
            <w:r>
              <w:rPr>
                <w:rFonts w:ascii="宋体" w:hAnsi="宋体" w:eastAsia="宋体" w:cs="宋体"/>
                <w:spacing w:val="-4"/>
                <w:sz w:val="18"/>
                <w:szCs w:val="18"/>
              </w:rPr>
              <w:t>1.类型:</w:t>
            </w:r>
            <w:r>
              <w:rPr>
                <w:rFonts w:ascii="宋体" w:hAnsi="宋体" w:eastAsia="宋体" w:cs="宋体"/>
                <w:spacing w:val="-60"/>
                <w:sz w:val="18"/>
                <w:szCs w:val="18"/>
              </w:rPr>
              <w:t xml:space="preserve"> </w:t>
            </w:r>
            <w:r>
              <w:rPr>
                <w:rFonts w:ascii="宋体" w:hAnsi="宋体" w:eastAsia="宋体" w:cs="宋体"/>
                <w:spacing w:val="-4"/>
                <w:sz w:val="18"/>
                <w:szCs w:val="18"/>
              </w:rPr>
              <w:t>Φ6.5钢筋网</w:t>
            </w:r>
          </w:p>
        </w:tc>
        <w:tc>
          <w:tcPr>
            <w:tcW w:w="1216" w:type="dxa"/>
            <w:vAlign w:val="center"/>
          </w:tcPr>
          <w:p>
            <w:pPr>
              <w:spacing w:before="177" w:line="242" w:lineRule="auto"/>
              <w:ind w:left="162"/>
              <w:jc w:val="center"/>
              <w:rPr>
                <w:rFonts w:ascii="宋体" w:hAnsi="宋体" w:eastAsia="宋体" w:cs="宋体"/>
                <w:sz w:val="18"/>
                <w:szCs w:val="18"/>
              </w:rPr>
            </w:pPr>
            <w:r>
              <w:rPr>
                <w:rFonts w:ascii="宋体" w:hAnsi="宋体" w:eastAsia="宋体" w:cs="宋体"/>
                <w:spacing w:val="-1"/>
                <w:sz w:val="18"/>
                <w:szCs w:val="18"/>
              </w:rPr>
              <w:t>m2</w:t>
            </w:r>
          </w:p>
        </w:tc>
        <w:tc>
          <w:tcPr>
            <w:tcW w:w="2084" w:type="dxa"/>
            <w:vAlign w:val="center"/>
          </w:tcPr>
          <w:p>
            <w:pPr>
              <w:spacing w:before="206" w:line="183" w:lineRule="auto"/>
              <w:ind w:right="11"/>
              <w:jc w:val="center"/>
              <w:rPr>
                <w:rFonts w:ascii="宋体" w:hAnsi="宋体" w:eastAsia="宋体" w:cs="宋体"/>
                <w:sz w:val="18"/>
                <w:szCs w:val="18"/>
              </w:rPr>
            </w:pPr>
            <w:r>
              <w:rPr>
                <w:rFonts w:ascii="宋体" w:hAnsi="宋体" w:eastAsia="宋体" w:cs="宋体"/>
                <w:spacing w:val="-1"/>
                <w:sz w:val="18"/>
                <w:szCs w:val="18"/>
              </w:rPr>
              <w:t>637.2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50" w:type="dxa"/>
            <w:tcBorders>
              <w:left w:val="single" w:color="000000" w:sz="14" w:space="0"/>
            </w:tcBorders>
            <w:vAlign w:val="center"/>
          </w:tcPr>
          <w:p>
            <w:pPr>
              <w:spacing w:before="211" w:line="182" w:lineRule="auto"/>
              <w:ind w:left="281"/>
              <w:jc w:val="center"/>
              <w:rPr>
                <w:rFonts w:ascii="宋体" w:hAnsi="宋体" w:eastAsia="宋体" w:cs="宋体"/>
                <w:sz w:val="18"/>
                <w:szCs w:val="18"/>
              </w:rPr>
            </w:pPr>
            <w:r>
              <w:rPr>
                <w:rFonts w:ascii="宋体" w:hAnsi="宋体" w:eastAsia="宋体" w:cs="宋体"/>
                <w:sz w:val="18"/>
                <w:szCs w:val="18"/>
              </w:rPr>
              <w:t>7</w:t>
            </w:r>
          </w:p>
        </w:tc>
        <w:tc>
          <w:tcPr>
            <w:tcW w:w="1150" w:type="dxa"/>
            <w:vAlign w:val="center"/>
          </w:tcPr>
          <w:p>
            <w:pPr>
              <w:spacing w:before="96" w:line="184" w:lineRule="auto"/>
              <w:ind w:left="55"/>
              <w:jc w:val="center"/>
              <w:rPr>
                <w:rFonts w:ascii="宋体" w:hAnsi="宋体" w:eastAsia="宋体" w:cs="宋体"/>
                <w:sz w:val="18"/>
                <w:szCs w:val="18"/>
              </w:rPr>
            </w:pPr>
            <w:r>
              <w:rPr>
                <w:rFonts w:ascii="宋体" w:hAnsi="宋体" w:eastAsia="宋体" w:cs="宋体"/>
                <w:sz w:val="18"/>
                <w:szCs w:val="18"/>
              </w:rPr>
              <w:t>0602120170</w:t>
            </w:r>
          </w:p>
          <w:p>
            <w:pPr>
              <w:spacing w:before="47" w:line="180" w:lineRule="auto"/>
              <w:ind w:left="420"/>
              <w:jc w:val="center"/>
              <w:rPr>
                <w:rFonts w:ascii="宋体" w:hAnsi="宋体" w:eastAsia="宋体" w:cs="宋体"/>
                <w:sz w:val="18"/>
                <w:szCs w:val="18"/>
              </w:rPr>
            </w:pPr>
            <w:r>
              <w:rPr>
                <w:rFonts w:ascii="宋体" w:hAnsi="宋体" w:eastAsia="宋体" w:cs="宋体"/>
                <w:spacing w:val="-4"/>
                <w:sz w:val="18"/>
                <w:szCs w:val="18"/>
              </w:rPr>
              <w:t>03</w:t>
            </w:r>
          </w:p>
        </w:tc>
        <w:tc>
          <w:tcPr>
            <w:tcW w:w="2754" w:type="dxa"/>
            <w:vAlign w:val="center"/>
          </w:tcPr>
          <w:p>
            <w:pPr>
              <w:spacing w:before="68" w:line="221" w:lineRule="auto"/>
              <w:ind w:left="30" w:right="51"/>
              <w:jc w:val="center"/>
              <w:rPr>
                <w:rFonts w:ascii="宋体" w:hAnsi="宋体" w:eastAsia="宋体" w:cs="宋体"/>
                <w:sz w:val="18"/>
                <w:szCs w:val="18"/>
              </w:rPr>
            </w:pPr>
            <w:r>
              <w:rPr>
                <w:rFonts w:ascii="宋体" w:hAnsi="宋体" w:eastAsia="宋体" w:cs="宋体"/>
                <w:spacing w:val="-5"/>
                <w:sz w:val="18"/>
                <w:szCs w:val="18"/>
              </w:rPr>
              <w:t>金属网(塑料网、</w:t>
            </w:r>
            <w:r>
              <w:rPr>
                <w:rFonts w:ascii="宋体" w:hAnsi="宋体" w:eastAsia="宋体" w:cs="宋体"/>
                <w:sz w:val="18"/>
                <w:szCs w:val="18"/>
              </w:rPr>
              <w:t xml:space="preserve"> </w:t>
            </w:r>
            <w:r>
              <w:rPr>
                <w:rFonts w:ascii="宋体" w:hAnsi="宋体" w:eastAsia="宋体" w:cs="宋体"/>
                <w:spacing w:val="-3"/>
                <w:sz w:val="18"/>
                <w:szCs w:val="18"/>
              </w:rPr>
              <w:t>编织网)</w:t>
            </w:r>
          </w:p>
        </w:tc>
        <w:tc>
          <w:tcPr>
            <w:tcW w:w="6217" w:type="dxa"/>
            <w:vAlign w:val="center"/>
          </w:tcPr>
          <w:p>
            <w:pPr>
              <w:spacing w:before="182" w:line="220" w:lineRule="auto"/>
              <w:ind w:firstLine="176" w:firstLineChars="100"/>
              <w:jc w:val="center"/>
              <w:rPr>
                <w:rFonts w:ascii="宋体" w:hAnsi="宋体" w:eastAsia="宋体" w:cs="宋体"/>
                <w:sz w:val="18"/>
                <w:szCs w:val="18"/>
              </w:rPr>
            </w:pPr>
            <w:r>
              <w:rPr>
                <w:rFonts w:ascii="宋体" w:hAnsi="宋体" w:eastAsia="宋体" w:cs="宋体"/>
                <w:spacing w:val="-2"/>
                <w:sz w:val="18"/>
                <w:szCs w:val="18"/>
              </w:rPr>
              <w:t>1.类型:8#金属网</w:t>
            </w:r>
          </w:p>
        </w:tc>
        <w:tc>
          <w:tcPr>
            <w:tcW w:w="1216" w:type="dxa"/>
            <w:vAlign w:val="center"/>
          </w:tcPr>
          <w:p>
            <w:pPr>
              <w:spacing w:before="181" w:line="242" w:lineRule="auto"/>
              <w:ind w:left="162"/>
              <w:jc w:val="center"/>
              <w:rPr>
                <w:rFonts w:ascii="宋体" w:hAnsi="宋体" w:eastAsia="宋体" w:cs="宋体"/>
                <w:sz w:val="18"/>
                <w:szCs w:val="18"/>
              </w:rPr>
            </w:pPr>
            <w:r>
              <w:rPr>
                <w:rFonts w:ascii="宋体" w:hAnsi="宋体" w:eastAsia="宋体" w:cs="宋体"/>
                <w:spacing w:val="-1"/>
                <w:sz w:val="18"/>
                <w:szCs w:val="18"/>
              </w:rPr>
              <w:t>m2</w:t>
            </w:r>
          </w:p>
        </w:tc>
        <w:tc>
          <w:tcPr>
            <w:tcW w:w="2084" w:type="dxa"/>
            <w:vAlign w:val="center"/>
          </w:tcPr>
          <w:p>
            <w:pPr>
              <w:spacing w:before="210" w:line="183" w:lineRule="auto"/>
              <w:ind w:right="11"/>
              <w:jc w:val="center"/>
              <w:rPr>
                <w:rFonts w:ascii="宋体" w:hAnsi="宋体" w:eastAsia="宋体" w:cs="宋体"/>
                <w:sz w:val="18"/>
                <w:szCs w:val="18"/>
              </w:rPr>
            </w:pPr>
            <w:r>
              <w:rPr>
                <w:rFonts w:ascii="宋体" w:hAnsi="宋体" w:eastAsia="宋体" w:cs="宋体"/>
                <w:spacing w:val="-2"/>
                <w:sz w:val="18"/>
                <w:szCs w:val="18"/>
              </w:rPr>
              <w:t>343.2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84" w:hRule="atLeast"/>
        </w:trPr>
        <w:tc>
          <w:tcPr>
            <w:tcW w:w="650" w:type="dxa"/>
            <w:tcBorders>
              <w:left w:val="single" w:color="000000" w:sz="14" w:space="0"/>
            </w:tcBorders>
            <w:vAlign w:val="center"/>
          </w:tcPr>
          <w:p>
            <w:pPr>
              <w:pStyle w:val="12"/>
              <w:spacing w:line="244" w:lineRule="auto"/>
              <w:jc w:val="center"/>
            </w:pPr>
          </w:p>
          <w:p>
            <w:pPr>
              <w:pStyle w:val="12"/>
              <w:spacing w:line="244" w:lineRule="auto"/>
              <w:jc w:val="center"/>
            </w:pPr>
          </w:p>
          <w:p>
            <w:pPr>
              <w:spacing w:before="59" w:line="183" w:lineRule="auto"/>
              <w:ind w:left="277"/>
              <w:jc w:val="center"/>
              <w:rPr>
                <w:rFonts w:ascii="宋体" w:hAnsi="宋体" w:eastAsia="宋体" w:cs="宋体"/>
                <w:sz w:val="18"/>
                <w:szCs w:val="18"/>
              </w:rPr>
            </w:pPr>
            <w:r>
              <w:rPr>
                <w:rFonts w:ascii="宋体" w:hAnsi="宋体" w:eastAsia="宋体" w:cs="宋体"/>
                <w:sz w:val="18"/>
                <w:szCs w:val="18"/>
              </w:rPr>
              <w:t>8</w:t>
            </w:r>
          </w:p>
        </w:tc>
        <w:tc>
          <w:tcPr>
            <w:tcW w:w="1150" w:type="dxa"/>
            <w:vAlign w:val="center"/>
          </w:tcPr>
          <w:p>
            <w:pPr>
              <w:pStyle w:val="12"/>
              <w:spacing w:line="375" w:lineRule="auto"/>
              <w:jc w:val="center"/>
            </w:pPr>
          </w:p>
          <w:p>
            <w:pPr>
              <w:spacing w:before="59" w:line="184" w:lineRule="auto"/>
              <w:ind w:left="55"/>
              <w:jc w:val="center"/>
              <w:rPr>
                <w:rFonts w:ascii="宋体" w:hAnsi="宋体" w:eastAsia="宋体" w:cs="宋体"/>
                <w:sz w:val="18"/>
                <w:szCs w:val="18"/>
              </w:rPr>
            </w:pPr>
            <w:r>
              <w:rPr>
                <w:rFonts w:ascii="宋体" w:hAnsi="宋体" w:eastAsia="宋体" w:cs="宋体"/>
                <w:sz w:val="18"/>
                <w:szCs w:val="18"/>
              </w:rPr>
              <w:t>0602110040</w:t>
            </w:r>
          </w:p>
          <w:p>
            <w:pPr>
              <w:spacing w:before="43" w:line="184" w:lineRule="auto"/>
              <w:ind w:left="420"/>
              <w:jc w:val="center"/>
              <w:rPr>
                <w:rFonts w:ascii="宋体" w:hAnsi="宋体" w:eastAsia="宋体" w:cs="宋体"/>
                <w:sz w:val="18"/>
                <w:szCs w:val="18"/>
              </w:rPr>
            </w:pPr>
            <w:r>
              <w:rPr>
                <w:rFonts w:ascii="宋体" w:hAnsi="宋体" w:eastAsia="宋体" w:cs="宋体"/>
                <w:spacing w:val="-4"/>
                <w:sz w:val="18"/>
                <w:szCs w:val="18"/>
              </w:rPr>
              <w:t>01</w:t>
            </w:r>
          </w:p>
        </w:tc>
        <w:tc>
          <w:tcPr>
            <w:tcW w:w="2754" w:type="dxa"/>
            <w:vAlign w:val="center"/>
          </w:tcPr>
          <w:p>
            <w:pPr>
              <w:pStyle w:val="12"/>
              <w:spacing w:line="460" w:lineRule="auto"/>
              <w:jc w:val="center"/>
            </w:pPr>
          </w:p>
          <w:p>
            <w:pPr>
              <w:spacing w:before="58" w:line="221" w:lineRule="auto"/>
              <w:ind w:left="32"/>
              <w:jc w:val="center"/>
              <w:rPr>
                <w:rFonts w:ascii="宋体" w:hAnsi="宋体" w:eastAsia="宋体" w:cs="宋体"/>
                <w:sz w:val="18"/>
                <w:szCs w:val="18"/>
              </w:rPr>
            </w:pPr>
            <w:r>
              <w:rPr>
                <w:rFonts w:ascii="宋体" w:hAnsi="宋体" w:eastAsia="宋体" w:cs="宋体"/>
                <w:spacing w:val="-2"/>
                <w:sz w:val="18"/>
                <w:szCs w:val="18"/>
              </w:rPr>
              <w:t>天溜井喷射支护</w:t>
            </w:r>
          </w:p>
        </w:tc>
        <w:tc>
          <w:tcPr>
            <w:tcW w:w="6217" w:type="dxa"/>
            <w:vAlign w:val="center"/>
          </w:tcPr>
          <w:p>
            <w:pPr>
              <w:numPr>
                <w:ilvl w:val="0"/>
                <w:numId w:val="1"/>
              </w:numPr>
              <w:spacing w:before="71" w:line="219" w:lineRule="auto"/>
              <w:jc w:val="center"/>
              <w:rPr>
                <w:rFonts w:ascii="宋体" w:hAnsi="宋体" w:eastAsia="宋体" w:cs="宋体"/>
                <w:spacing w:val="-2"/>
                <w:sz w:val="18"/>
                <w:szCs w:val="18"/>
              </w:rPr>
            </w:pPr>
            <w:r>
              <w:rPr>
                <w:rFonts w:ascii="宋体" w:hAnsi="宋体" w:eastAsia="宋体" w:cs="宋体"/>
                <w:spacing w:val="-2"/>
                <w:sz w:val="18"/>
                <w:szCs w:val="18"/>
              </w:rPr>
              <w:t>喷射材料:混凝土</w:t>
            </w:r>
          </w:p>
          <w:p>
            <w:pPr>
              <w:numPr>
                <w:ilvl w:val="0"/>
                <w:numId w:val="1"/>
              </w:numPr>
              <w:spacing w:before="71" w:line="219" w:lineRule="auto"/>
              <w:jc w:val="center"/>
              <w:rPr>
                <w:rFonts w:ascii="宋体" w:hAnsi="宋体" w:eastAsia="宋体" w:cs="宋体"/>
                <w:sz w:val="18"/>
                <w:szCs w:val="18"/>
              </w:rPr>
            </w:pPr>
            <w:r>
              <w:rPr>
                <w:rFonts w:ascii="宋体" w:hAnsi="宋体" w:eastAsia="宋体" w:cs="宋体"/>
                <w:spacing w:val="-1"/>
                <w:sz w:val="18"/>
                <w:szCs w:val="18"/>
              </w:rPr>
              <w:t>2.强度等级:C20</w:t>
            </w:r>
          </w:p>
          <w:p>
            <w:pPr>
              <w:spacing w:before="11" w:line="220" w:lineRule="auto"/>
              <w:jc w:val="center"/>
              <w:rPr>
                <w:rFonts w:ascii="宋体" w:hAnsi="宋体" w:eastAsia="宋体" w:cs="宋体"/>
                <w:spacing w:val="-4"/>
                <w:sz w:val="18"/>
                <w:szCs w:val="18"/>
              </w:rPr>
            </w:pPr>
            <w:r>
              <w:rPr>
                <w:rFonts w:ascii="宋体" w:hAnsi="宋体" w:eastAsia="宋体" w:cs="宋体"/>
                <w:spacing w:val="-1"/>
                <w:sz w:val="18"/>
                <w:szCs w:val="18"/>
              </w:rPr>
              <w:t>3.喷射部位:溜煤眼上</w:t>
            </w:r>
            <w:r>
              <w:rPr>
                <w:rFonts w:ascii="宋体" w:hAnsi="宋体" w:eastAsia="宋体" w:cs="宋体"/>
                <w:spacing w:val="-4"/>
                <w:sz w:val="18"/>
                <w:szCs w:val="18"/>
              </w:rPr>
              <w:t>口及下口挑顶后喷浆</w:t>
            </w:r>
          </w:p>
          <w:p>
            <w:pPr>
              <w:spacing w:before="11" w:line="220" w:lineRule="auto"/>
              <w:jc w:val="center"/>
              <w:rPr>
                <w:rFonts w:ascii="宋体" w:hAnsi="宋体" w:eastAsia="宋体" w:cs="宋体"/>
                <w:sz w:val="18"/>
                <w:szCs w:val="18"/>
              </w:rPr>
            </w:pPr>
            <w:r>
              <w:rPr>
                <w:rFonts w:ascii="宋体" w:hAnsi="宋体" w:eastAsia="宋体" w:cs="宋体"/>
                <w:sz w:val="18"/>
                <w:szCs w:val="18"/>
              </w:rPr>
              <w:t>4.喷射厚度:100mm</w:t>
            </w:r>
          </w:p>
        </w:tc>
        <w:tc>
          <w:tcPr>
            <w:tcW w:w="1216" w:type="dxa"/>
            <w:vAlign w:val="center"/>
          </w:tcPr>
          <w:p>
            <w:pPr>
              <w:pStyle w:val="12"/>
              <w:spacing w:line="460" w:lineRule="auto"/>
              <w:jc w:val="center"/>
            </w:pPr>
          </w:p>
          <w:p>
            <w:pPr>
              <w:spacing w:before="59"/>
              <w:ind w:left="162"/>
              <w:jc w:val="center"/>
              <w:rPr>
                <w:rFonts w:ascii="宋体" w:hAnsi="宋体" w:eastAsia="宋体" w:cs="宋体"/>
                <w:sz w:val="18"/>
                <w:szCs w:val="18"/>
              </w:rPr>
            </w:pPr>
            <w:r>
              <w:rPr>
                <w:rFonts w:ascii="宋体" w:hAnsi="宋体" w:eastAsia="宋体" w:cs="宋体"/>
                <w:spacing w:val="-1"/>
                <w:sz w:val="18"/>
                <w:szCs w:val="18"/>
              </w:rPr>
              <w:t>m3</w:t>
            </w:r>
          </w:p>
        </w:tc>
        <w:tc>
          <w:tcPr>
            <w:tcW w:w="2084" w:type="dxa"/>
            <w:vAlign w:val="center"/>
          </w:tcPr>
          <w:p>
            <w:pPr>
              <w:pStyle w:val="12"/>
              <w:spacing w:line="244" w:lineRule="auto"/>
              <w:jc w:val="center"/>
            </w:pPr>
          </w:p>
          <w:p>
            <w:pPr>
              <w:pStyle w:val="12"/>
              <w:spacing w:line="244" w:lineRule="auto"/>
              <w:jc w:val="center"/>
            </w:pPr>
          </w:p>
          <w:p>
            <w:pPr>
              <w:spacing w:before="59" w:line="183" w:lineRule="auto"/>
              <w:ind w:right="11"/>
              <w:jc w:val="center"/>
              <w:rPr>
                <w:rFonts w:ascii="宋体" w:hAnsi="宋体" w:eastAsia="宋体" w:cs="宋体"/>
                <w:sz w:val="18"/>
                <w:szCs w:val="18"/>
              </w:rPr>
            </w:pPr>
            <w:r>
              <w:rPr>
                <w:rFonts w:ascii="宋体" w:hAnsi="宋体" w:eastAsia="宋体" w:cs="宋体"/>
                <w:spacing w:val="-5"/>
                <w:sz w:val="18"/>
                <w:szCs w:val="18"/>
              </w:rPr>
              <w:t>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50" w:type="dxa"/>
            <w:tcBorders>
              <w:left w:val="single" w:color="000000" w:sz="14" w:space="0"/>
            </w:tcBorders>
            <w:vAlign w:val="center"/>
          </w:tcPr>
          <w:p>
            <w:pPr>
              <w:spacing w:before="215" w:line="183" w:lineRule="auto"/>
              <w:ind w:left="277"/>
              <w:jc w:val="center"/>
              <w:rPr>
                <w:rFonts w:ascii="宋体" w:hAnsi="宋体" w:eastAsia="宋体" w:cs="宋体"/>
                <w:sz w:val="18"/>
                <w:szCs w:val="18"/>
              </w:rPr>
            </w:pPr>
            <w:r>
              <w:rPr>
                <w:rFonts w:ascii="宋体" w:hAnsi="宋体" w:eastAsia="宋体" w:cs="宋体"/>
                <w:sz w:val="18"/>
                <w:szCs w:val="18"/>
              </w:rPr>
              <w:t>9</w:t>
            </w:r>
          </w:p>
        </w:tc>
        <w:tc>
          <w:tcPr>
            <w:tcW w:w="1150" w:type="dxa"/>
            <w:vAlign w:val="center"/>
          </w:tcPr>
          <w:p>
            <w:pPr>
              <w:spacing w:before="101" w:line="184" w:lineRule="auto"/>
              <w:ind w:left="55"/>
              <w:jc w:val="center"/>
              <w:rPr>
                <w:rFonts w:ascii="宋体" w:hAnsi="宋体" w:eastAsia="宋体" w:cs="宋体"/>
                <w:sz w:val="18"/>
                <w:szCs w:val="18"/>
              </w:rPr>
            </w:pPr>
            <w:r>
              <w:rPr>
                <w:rFonts w:ascii="宋体" w:hAnsi="宋体" w:eastAsia="宋体" w:cs="宋体"/>
                <w:sz w:val="18"/>
                <w:szCs w:val="18"/>
              </w:rPr>
              <w:t>0602120160</w:t>
            </w:r>
          </w:p>
          <w:p>
            <w:pPr>
              <w:spacing w:before="47" w:line="175" w:lineRule="auto"/>
              <w:ind w:left="420"/>
              <w:jc w:val="center"/>
              <w:rPr>
                <w:rFonts w:ascii="宋体" w:hAnsi="宋体" w:eastAsia="宋体" w:cs="宋体"/>
                <w:sz w:val="18"/>
                <w:szCs w:val="18"/>
              </w:rPr>
            </w:pPr>
            <w:r>
              <w:rPr>
                <w:rFonts w:ascii="宋体" w:hAnsi="宋体" w:eastAsia="宋体" w:cs="宋体"/>
                <w:spacing w:val="-4"/>
                <w:sz w:val="18"/>
                <w:szCs w:val="18"/>
              </w:rPr>
              <w:t>02</w:t>
            </w:r>
          </w:p>
        </w:tc>
        <w:tc>
          <w:tcPr>
            <w:tcW w:w="2754" w:type="dxa"/>
            <w:vAlign w:val="center"/>
          </w:tcPr>
          <w:p>
            <w:pPr>
              <w:spacing w:before="73" w:line="218" w:lineRule="auto"/>
              <w:ind w:left="27" w:right="111" w:firstLine="2"/>
              <w:jc w:val="center"/>
              <w:rPr>
                <w:rFonts w:ascii="宋体" w:hAnsi="宋体" w:eastAsia="宋体" w:cs="宋体"/>
                <w:sz w:val="18"/>
                <w:szCs w:val="18"/>
              </w:rPr>
            </w:pPr>
            <w:r>
              <w:rPr>
                <w:rFonts w:ascii="宋体" w:hAnsi="宋体" w:eastAsia="宋体" w:cs="宋体"/>
                <w:spacing w:val="-2"/>
                <w:sz w:val="18"/>
                <w:szCs w:val="18"/>
              </w:rPr>
              <w:t>现浇混凝土构件</w:t>
            </w:r>
            <w:r>
              <w:rPr>
                <w:rFonts w:ascii="宋体" w:hAnsi="宋体" w:eastAsia="宋体" w:cs="宋体"/>
                <w:spacing w:val="4"/>
                <w:sz w:val="18"/>
                <w:szCs w:val="18"/>
              </w:rPr>
              <w:t xml:space="preserve"> </w:t>
            </w:r>
            <w:r>
              <w:rPr>
                <w:rFonts w:ascii="宋体" w:hAnsi="宋体" w:eastAsia="宋体" w:cs="宋体"/>
                <w:spacing w:val="-3"/>
                <w:sz w:val="18"/>
                <w:szCs w:val="18"/>
              </w:rPr>
              <w:t>钢筋</w:t>
            </w:r>
          </w:p>
        </w:tc>
        <w:tc>
          <w:tcPr>
            <w:tcW w:w="6217" w:type="dxa"/>
            <w:vAlign w:val="center"/>
          </w:tcPr>
          <w:p>
            <w:pPr>
              <w:spacing w:before="73" w:line="218" w:lineRule="auto"/>
              <w:ind w:left="776" w:right="40" w:hanging="708"/>
              <w:jc w:val="center"/>
              <w:rPr>
                <w:rFonts w:ascii="宋体" w:hAnsi="宋体" w:eastAsia="宋体" w:cs="宋体"/>
                <w:sz w:val="18"/>
                <w:szCs w:val="18"/>
              </w:rPr>
            </w:pPr>
            <w:r>
              <w:rPr>
                <w:rFonts w:ascii="宋体" w:hAnsi="宋体" w:eastAsia="宋体" w:cs="宋体"/>
                <w:spacing w:val="-5"/>
                <w:sz w:val="18"/>
                <w:szCs w:val="18"/>
              </w:rPr>
              <w:t>1.钢筋种类、规格:</w:t>
            </w:r>
            <w:r>
              <w:rPr>
                <w:rFonts w:ascii="宋体" w:hAnsi="宋体" w:eastAsia="宋体" w:cs="宋体"/>
                <w:spacing w:val="-53"/>
                <w:sz w:val="18"/>
                <w:szCs w:val="18"/>
              </w:rPr>
              <w:t xml:space="preserve"> </w:t>
            </w:r>
            <w:r>
              <w:rPr>
                <w:rFonts w:ascii="宋体" w:hAnsi="宋体" w:eastAsia="宋体" w:cs="宋体"/>
                <w:spacing w:val="-5"/>
                <w:sz w:val="18"/>
                <w:szCs w:val="18"/>
              </w:rPr>
              <w:t>Φ</w:t>
            </w:r>
            <w:r>
              <w:rPr>
                <w:rFonts w:ascii="宋体" w:hAnsi="宋体" w:eastAsia="宋体" w:cs="宋体"/>
                <w:sz w:val="18"/>
                <w:szCs w:val="18"/>
              </w:rPr>
              <w:t xml:space="preserve"> </w:t>
            </w:r>
            <w:r>
              <w:rPr>
                <w:rFonts w:ascii="宋体" w:hAnsi="宋体" w:eastAsia="宋体" w:cs="宋体"/>
                <w:spacing w:val="-3"/>
                <w:sz w:val="18"/>
                <w:szCs w:val="18"/>
              </w:rPr>
              <w:t>6mm</w:t>
            </w:r>
          </w:p>
        </w:tc>
        <w:tc>
          <w:tcPr>
            <w:tcW w:w="1216" w:type="dxa"/>
            <w:vAlign w:val="center"/>
          </w:tcPr>
          <w:p>
            <w:pPr>
              <w:spacing w:before="186" w:line="241" w:lineRule="auto"/>
              <w:ind w:left="216"/>
              <w:jc w:val="center"/>
              <w:rPr>
                <w:rFonts w:ascii="宋体" w:hAnsi="宋体" w:eastAsia="宋体" w:cs="宋体"/>
                <w:sz w:val="18"/>
                <w:szCs w:val="18"/>
              </w:rPr>
            </w:pPr>
            <w:r>
              <w:rPr>
                <w:rFonts w:ascii="宋体" w:hAnsi="宋体" w:eastAsia="宋体" w:cs="宋体"/>
                <w:sz w:val="18"/>
                <w:szCs w:val="18"/>
              </w:rPr>
              <w:t>t</w:t>
            </w:r>
          </w:p>
        </w:tc>
        <w:tc>
          <w:tcPr>
            <w:tcW w:w="2084" w:type="dxa"/>
            <w:vAlign w:val="center"/>
          </w:tcPr>
          <w:p>
            <w:pPr>
              <w:spacing w:before="214" w:line="184" w:lineRule="auto"/>
              <w:ind w:right="11"/>
              <w:jc w:val="center"/>
              <w:rPr>
                <w:rFonts w:ascii="宋体" w:hAnsi="宋体" w:eastAsia="宋体" w:cs="宋体"/>
                <w:sz w:val="18"/>
                <w:szCs w:val="18"/>
              </w:rPr>
            </w:pPr>
            <w:r>
              <w:rPr>
                <w:rFonts w:ascii="宋体" w:hAnsi="宋体" w:eastAsia="宋体" w:cs="宋体"/>
                <w:spacing w:val="-1"/>
                <w:sz w:val="18"/>
                <w:szCs w:val="18"/>
              </w:rPr>
              <w:t>0.012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50" w:type="dxa"/>
            <w:tcBorders>
              <w:left w:val="single" w:color="000000" w:sz="14" w:space="0"/>
            </w:tcBorders>
            <w:vAlign w:val="center"/>
          </w:tcPr>
          <w:p>
            <w:pPr>
              <w:spacing w:before="213" w:line="184" w:lineRule="auto"/>
              <w:ind w:left="244"/>
              <w:jc w:val="center"/>
              <w:rPr>
                <w:rFonts w:ascii="宋体" w:hAnsi="宋体" w:eastAsia="宋体" w:cs="宋体"/>
                <w:sz w:val="18"/>
                <w:szCs w:val="18"/>
              </w:rPr>
            </w:pPr>
            <w:r>
              <w:rPr>
                <w:rFonts w:ascii="宋体" w:hAnsi="宋体" w:eastAsia="宋体" w:cs="宋体"/>
                <w:spacing w:val="-10"/>
                <w:sz w:val="18"/>
                <w:szCs w:val="18"/>
              </w:rPr>
              <w:t>10</w:t>
            </w:r>
          </w:p>
        </w:tc>
        <w:tc>
          <w:tcPr>
            <w:tcW w:w="1150" w:type="dxa"/>
            <w:vAlign w:val="center"/>
          </w:tcPr>
          <w:p>
            <w:pPr>
              <w:spacing w:before="103" w:line="184" w:lineRule="auto"/>
              <w:ind w:left="55"/>
              <w:jc w:val="center"/>
              <w:rPr>
                <w:rFonts w:ascii="宋体" w:hAnsi="宋体" w:eastAsia="宋体" w:cs="宋体"/>
                <w:sz w:val="18"/>
                <w:szCs w:val="18"/>
              </w:rPr>
            </w:pPr>
            <w:r>
              <w:rPr>
                <w:rFonts w:ascii="宋体" w:hAnsi="宋体" w:eastAsia="宋体" w:cs="宋体"/>
                <w:sz w:val="18"/>
                <w:szCs w:val="18"/>
              </w:rPr>
              <w:t>0602120160</w:t>
            </w:r>
          </w:p>
          <w:p>
            <w:pPr>
              <w:spacing w:before="43" w:line="177" w:lineRule="auto"/>
              <w:ind w:left="420"/>
              <w:jc w:val="center"/>
              <w:rPr>
                <w:rFonts w:ascii="宋体" w:hAnsi="宋体" w:eastAsia="宋体" w:cs="宋体"/>
                <w:sz w:val="18"/>
                <w:szCs w:val="18"/>
              </w:rPr>
            </w:pPr>
            <w:r>
              <w:rPr>
                <w:rFonts w:ascii="宋体" w:hAnsi="宋体" w:eastAsia="宋体" w:cs="宋体"/>
                <w:spacing w:val="-4"/>
                <w:sz w:val="18"/>
                <w:szCs w:val="18"/>
              </w:rPr>
              <w:t>01</w:t>
            </w:r>
          </w:p>
        </w:tc>
        <w:tc>
          <w:tcPr>
            <w:tcW w:w="2754" w:type="dxa"/>
            <w:vAlign w:val="center"/>
          </w:tcPr>
          <w:p>
            <w:pPr>
              <w:spacing w:before="75" w:line="217" w:lineRule="auto"/>
              <w:ind w:left="27" w:right="111" w:firstLine="2"/>
              <w:jc w:val="center"/>
              <w:rPr>
                <w:rFonts w:ascii="宋体" w:hAnsi="宋体" w:eastAsia="宋体" w:cs="宋体"/>
                <w:sz w:val="18"/>
                <w:szCs w:val="18"/>
              </w:rPr>
            </w:pPr>
            <w:r>
              <w:rPr>
                <w:rFonts w:ascii="宋体" w:hAnsi="宋体" w:eastAsia="宋体" w:cs="宋体"/>
                <w:spacing w:val="-2"/>
                <w:sz w:val="18"/>
                <w:szCs w:val="18"/>
              </w:rPr>
              <w:t>现浇混凝土构件</w:t>
            </w:r>
            <w:r>
              <w:rPr>
                <w:rFonts w:ascii="宋体" w:hAnsi="宋体" w:eastAsia="宋体" w:cs="宋体"/>
                <w:spacing w:val="4"/>
                <w:sz w:val="18"/>
                <w:szCs w:val="18"/>
              </w:rPr>
              <w:t xml:space="preserve"> </w:t>
            </w:r>
            <w:r>
              <w:rPr>
                <w:rFonts w:ascii="宋体" w:hAnsi="宋体" w:eastAsia="宋体" w:cs="宋体"/>
                <w:spacing w:val="-3"/>
                <w:sz w:val="18"/>
                <w:szCs w:val="18"/>
              </w:rPr>
              <w:t>钢筋</w:t>
            </w:r>
          </w:p>
        </w:tc>
        <w:tc>
          <w:tcPr>
            <w:tcW w:w="6217" w:type="dxa"/>
            <w:vAlign w:val="center"/>
          </w:tcPr>
          <w:p>
            <w:pPr>
              <w:spacing w:before="75" w:line="217" w:lineRule="auto"/>
              <w:ind w:left="608" w:right="40" w:hanging="540"/>
              <w:jc w:val="center"/>
              <w:rPr>
                <w:rFonts w:ascii="宋体" w:hAnsi="宋体" w:eastAsia="宋体" w:cs="宋体"/>
                <w:sz w:val="18"/>
                <w:szCs w:val="18"/>
              </w:rPr>
            </w:pPr>
            <w:r>
              <w:rPr>
                <w:rFonts w:ascii="宋体" w:hAnsi="宋体" w:eastAsia="宋体" w:cs="宋体"/>
                <w:spacing w:val="-5"/>
                <w:sz w:val="18"/>
                <w:szCs w:val="18"/>
              </w:rPr>
              <w:t>1.钢筋种类、规格:</w:t>
            </w:r>
            <w:r>
              <w:rPr>
                <w:rFonts w:ascii="宋体" w:hAnsi="宋体" w:eastAsia="宋体" w:cs="宋体"/>
                <w:spacing w:val="-53"/>
                <w:sz w:val="18"/>
                <w:szCs w:val="18"/>
              </w:rPr>
              <w:t xml:space="preserve"> </w:t>
            </w:r>
            <w:r>
              <w:rPr>
                <w:rFonts w:ascii="宋体" w:hAnsi="宋体" w:eastAsia="宋体" w:cs="宋体"/>
                <w:spacing w:val="-5"/>
                <w:sz w:val="18"/>
                <w:szCs w:val="18"/>
              </w:rPr>
              <w:t>Φ</w:t>
            </w:r>
            <w:r>
              <w:rPr>
                <w:rFonts w:ascii="宋体" w:hAnsi="宋体" w:eastAsia="宋体" w:cs="宋体"/>
                <w:sz w:val="18"/>
                <w:szCs w:val="18"/>
              </w:rPr>
              <w:t xml:space="preserve"> </w:t>
            </w:r>
            <w:r>
              <w:rPr>
                <w:rFonts w:ascii="宋体" w:hAnsi="宋体" w:eastAsia="宋体" w:cs="宋体"/>
                <w:spacing w:val="-3"/>
                <w:sz w:val="18"/>
                <w:szCs w:val="18"/>
              </w:rPr>
              <w:t>18-20mm</w:t>
            </w:r>
          </w:p>
        </w:tc>
        <w:tc>
          <w:tcPr>
            <w:tcW w:w="1216" w:type="dxa"/>
            <w:vAlign w:val="center"/>
          </w:tcPr>
          <w:p>
            <w:pPr>
              <w:spacing w:before="185" w:line="241" w:lineRule="auto"/>
              <w:ind w:left="216"/>
              <w:jc w:val="center"/>
              <w:rPr>
                <w:rFonts w:ascii="宋体" w:hAnsi="宋体" w:eastAsia="宋体" w:cs="宋体"/>
                <w:sz w:val="18"/>
                <w:szCs w:val="18"/>
              </w:rPr>
            </w:pPr>
            <w:r>
              <w:rPr>
                <w:rFonts w:ascii="宋体" w:hAnsi="宋体" w:eastAsia="宋体" w:cs="宋体"/>
                <w:sz w:val="18"/>
                <w:szCs w:val="18"/>
              </w:rPr>
              <w:t>t</w:t>
            </w:r>
          </w:p>
        </w:tc>
        <w:tc>
          <w:tcPr>
            <w:tcW w:w="2084" w:type="dxa"/>
            <w:vAlign w:val="center"/>
          </w:tcPr>
          <w:p>
            <w:pPr>
              <w:spacing w:before="213" w:line="184" w:lineRule="auto"/>
              <w:ind w:right="11"/>
              <w:jc w:val="center"/>
              <w:rPr>
                <w:rFonts w:ascii="宋体" w:hAnsi="宋体" w:eastAsia="宋体" w:cs="宋体"/>
                <w:sz w:val="18"/>
                <w:szCs w:val="18"/>
              </w:rPr>
            </w:pPr>
            <w:r>
              <w:rPr>
                <w:rFonts w:ascii="宋体" w:hAnsi="宋体" w:eastAsia="宋体" w:cs="宋体"/>
                <w:spacing w:val="-4"/>
                <w:sz w:val="18"/>
                <w:szCs w:val="18"/>
              </w:rPr>
              <w:t>1.616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50" w:type="dxa"/>
            <w:tcBorders>
              <w:left w:val="single" w:color="000000" w:sz="14" w:space="0"/>
            </w:tcBorders>
            <w:vAlign w:val="center"/>
          </w:tcPr>
          <w:p>
            <w:pPr>
              <w:spacing w:before="217" w:line="184" w:lineRule="auto"/>
              <w:ind w:left="244"/>
              <w:jc w:val="center"/>
              <w:rPr>
                <w:rFonts w:ascii="宋体" w:hAnsi="宋体" w:eastAsia="宋体" w:cs="宋体"/>
                <w:sz w:val="18"/>
                <w:szCs w:val="18"/>
              </w:rPr>
            </w:pPr>
            <w:r>
              <w:rPr>
                <w:rFonts w:ascii="宋体" w:hAnsi="宋体" w:eastAsia="宋体" w:cs="宋体"/>
                <w:spacing w:val="-10"/>
                <w:sz w:val="18"/>
                <w:szCs w:val="18"/>
              </w:rPr>
              <w:t>11</w:t>
            </w:r>
          </w:p>
        </w:tc>
        <w:tc>
          <w:tcPr>
            <w:tcW w:w="1150" w:type="dxa"/>
            <w:vAlign w:val="center"/>
          </w:tcPr>
          <w:p>
            <w:pPr>
              <w:spacing w:before="104" w:line="184" w:lineRule="auto"/>
              <w:ind w:left="55"/>
              <w:jc w:val="center"/>
              <w:rPr>
                <w:rFonts w:ascii="宋体" w:hAnsi="宋体" w:eastAsia="宋体" w:cs="宋体"/>
                <w:sz w:val="18"/>
                <w:szCs w:val="18"/>
              </w:rPr>
            </w:pPr>
            <w:r>
              <w:rPr>
                <w:rFonts w:ascii="宋体" w:hAnsi="宋体" w:eastAsia="宋体" w:cs="宋体"/>
                <w:sz w:val="18"/>
                <w:szCs w:val="18"/>
              </w:rPr>
              <w:t>0602110070</w:t>
            </w:r>
          </w:p>
          <w:p>
            <w:pPr>
              <w:spacing w:before="46" w:line="173" w:lineRule="auto"/>
              <w:ind w:left="420"/>
              <w:jc w:val="center"/>
              <w:rPr>
                <w:rFonts w:ascii="宋体" w:hAnsi="宋体" w:eastAsia="宋体" w:cs="宋体"/>
                <w:sz w:val="18"/>
                <w:szCs w:val="18"/>
              </w:rPr>
            </w:pPr>
            <w:r>
              <w:rPr>
                <w:rFonts w:ascii="宋体" w:hAnsi="宋体" w:eastAsia="宋体" w:cs="宋体"/>
                <w:spacing w:val="-4"/>
                <w:sz w:val="18"/>
                <w:szCs w:val="18"/>
              </w:rPr>
              <w:t>01</w:t>
            </w:r>
          </w:p>
        </w:tc>
        <w:tc>
          <w:tcPr>
            <w:tcW w:w="2754" w:type="dxa"/>
            <w:vAlign w:val="center"/>
          </w:tcPr>
          <w:p>
            <w:pPr>
              <w:spacing w:before="189" w:line="221" w:lineRule="auto"/>
              <w:ind w:left="32"/>
              <w:jc w:val="center"/>
              <w:rPr>
                <w:rFonts w:ascii="宋体" w:hAnsi="宋体" w:eastAsia="宋体" w:cs="宋体"/>
                <w:sz w:val="18"/>
                <w:szCs w:val="18"/>
              </w:rPr>
            </w:pPr>
            <w:r>
              <w:rPr>
                <w:rFonts w:ascii="宋体" w:hAnsi="宋体" w:eastAsia="宋体" w:cs="宋体"/>
                <w:spacing w:val="-3"/>
                <w:sz w:val="18"/>
                <w:szCs w:val="18"/>
              </w:rPr>
              <w:t>天溜井加固</w:t>
            </w:r>
          </w:p>
        </w:tc>
        <w:tc>
          <w:tcPr>
            <w:tcW w:w="6217" w:type="dxa"/>
            <w:vAlign w:val="center"/>
          </w:tcPr>
          <w:p>
            <w:pPr>
              <w:pStyle w:val="12"/>
              <w:jc w:val="center"/>
            </w:pPr>
          </w:p>
        </w:tc>
        <w:tc>
          <w:tcPr>
            <w:tcW w:w="1216" w:type="dxa"/>
            <w:vAlign w:val="center"/>
          </w:tcPr>
          <w:p>
            <w:pPr>
              <w:spacing w:before="189" w:line="241" w:lineRule="auto"/>
              <w:ind w:left="216"/>
              <w:jc w:val="center"/>
              <w:rPr>
                <w:rFonts w:ascii="宋体" w:hAnsi="宋体" w:eastAsia="宋体" w:cs="宋体"/>
                <w:sz w:val="18"/>
                <w:szCs w:val="18"/>
              </w:rPr>
            </w:pPr>
            <w:r>
              <w:rPr>
                <w:rFonts w:ascii="宋体" w:hAnsi="宋体" w:eastAsia="宋体" w:cs="宋体"/>
                <w:sz w:val="18"/>
                <w:szCs w:val="18"/>
              </w:rPr>
              <w:t>t</w:t>
            </w:r>
          </w:p>
        </w:tc>
        <w:tc>
          <w:tcPr>
            <w:tcW w:w="2084" w:type="dxa"/>
            <w:vAlign w:val="center"/>
          </w:tcPr>
          <w:p>
            <w:pPr>
              <w:spacing w:before="218" w:line="183" w:lineRule="auto"/>
              <w:ind w:right="11"/>
              <w:jc w:val="center"/>
              <w:rPr>
                <w:rFonts w:ascii="宋体" w:hAnsi="宋体" w:eastAsia="宋体" w:cs="宋体"/>
                <w:sz w:val="18"/>
                <w:szCs w:val="18"/>
              </w:rPr>
            </w:pPr>
            <w:r>
              <w:rPr>
                <w:rFonts w:ascii="宋体" w:hAnsi="宋体" w:eastAsia="宋体" w:cs="宋体"/>
                <w:spacing w:val="-2"/>
                <w:sz w:val="18"/>
                <w:szCs w:val="18"/>
              </w:rPr>
              <w:t>2.906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50" w:type="dxa"/>
            <w:tcBorders>
              <w:left w:val="single" w:color="000000" w:sz="14" w:space="0"/>
            </w:tcBorders>
            <w:vAlign w:val="center"/>
          </w:tcPr>
          <w:p>
            <w:pPr>
              <w:spacing w:before="219" w:line="184" w:lineRule="auto"/>
              <w:ind w:left="244"/>
              <w:jc w:val="center"/>
              <w:rPr>
                <w:rFonts w:ascii="宋体" w:hAnsi="宋体" w:eastAsia="宋体" w:cs="宋体"/>
                <w:sz w:val="18"/>
                <w:szCs w:val="18"/>
              </w:rPr>
            </w:pPr>
            <w:r>
              <w:rPr>
                <w:rFonts w:ascii="宋体" w:hAnsi="宋体" w:eastAsia="宋体" w:cs="宋体"/>
                <w:spacing w:val="-10"/>
                <w:sz w:val="18"/>
                <w:szCs w:val="18"/>
              </w:rPr>
              <w:t>12</w:t>
            </w:r>
          </w:p>
        </w:tc>
        <w:tc>
          <w:tcPr>
            <w:tcW w:w="1150" w:type="dxa"/>
            <w:vAlign w:val="center"/>
          </w:tcPr>
          <w:p>
            <w:pPr>
              <w:spacing w:before="106" w:line="184" w:lineRule="auto"/>
              <w:ind w:left="55"/>
              <w:jc w:val="center"/>
              <w:rPr>
                <w:rFonts w:ascii="宋体" w:hAnsi="宋体" w:eastAsia="宋体" w:cs="宋体"/>
                <w:sz w:val="18"/>
                <w:szCs w:val="18"/>
              </w:rPr>
            </w:pPr>
            <w:r>
              <w:rPr>
                <w:rFonts w:ascii="宋体" w:hAnsi="宋体" w:eastAsia="宋体" w:cs="宋体"/>
                <w:sz w:val="18"/>
                <w:szCs w:val="18"/>
              </w:rPr>
              <w:t>0602130060</w:t>
            </w:r>
          </w:p>
          <w:p>
            <w:pPr>
              <w:spacing w:before="47" w:line="170" w:lineRule="auto"/>
              <w:ind w:left="420"/>
              <w:jc w:val="center"/>
              <w:rPr>
                <w:rFonts w:ascii="宋体" w:hAnsi="宋体" w:eastAsia="宋体" w:cs="宋体"/>
                <w:sz w:val="18"/>
                <w:szCs w:val="18"/>
              </w:rPr>
            </w:pPr>
            <w:r>
              <w:rPr>
                <w:rFonts w:ascii="宋体" w:hAnsi="宋体" w:eastAsia="宋体" w:cs="宋体"/>
                <w:spacing w:val="-4"/>
                <w:sz w:val="18"/>
                <w:szCs w:val="18"/>
              </w:rPr>
              <w:t>02</w:t>
            </w:r>
          </w:p>
        </w:tc>
        <w:tc>
          <w:tcPr>
            <w:tcW w:w="2754" w:type="dxa"/>
            <w:vAlign w:val="center"/>
          </w:tcPr>
          <w:p>
            <w:pPr>
              <w:spacing w:before="191" w:line="221" w:lineRule="auto"/>
              <w:ind w:left="31"/>
              <w:jc w:val="center"/>
              <w:rPr>
                <w:rFonts w:ascii="宋体" w:hAnsi="宋体" w:eastAsia="宋体" w:cs="宋体"/>
                <w:sz w:val="18"/>
                <w:szCs w:val="18"/>
              </w:rPr>
            </w:pPr>
            <w:r>
              <w:rPr>
                <w:rFonts w:ascii="宋体" w:hAnsi="宋体" w:eastAsia="宋体" w:cs="宋体"/>
                <w:spacing w:val="-2"/>
                <w:sz w:val="18"/>
                <w:szCs w:val="18"/>
              </w:rPr>
              <w:t>溜煤眼砌碹</w:t>
            </w:r>
          </w:p>
        </w:tc>
        <w:tc>
          <w:tcPr>
            <w:tcW w:w="6217" w:type="dxa"/>
            <w:vAlign w:val="center"/>
          </w:tcPr>
          <w:p>
            <w:pPr>
              <w:spacing w:before="79" w:line="215" w:lineRule="auto"/>
              <w:ind w:left="643" w:right="266" w:hanging="347"/>
              <w:jc w:val="center"/>
              <w:rPr>
                <w:rFonts w:ascii="宋体" w:hAnsi="宋体" w:eastAsia="宋体" w:cs="宋体"/>
                <w:sz w:val="18"/>
                <w:szCs w:val="18"/>
              </w:rPr>
            </w:pPr>
            <w:r>
              <w:rPr>
                <w:rFonts w:ascii="宋体" w:hAnsi="宋体" w:eastAsia="宋体" w:cs="宋体"/>
                <w:spacing w:val="-3"/>
                <w:sz w:val="18"/>
                <w:szCs w:val="18"/>
              </w:rPr>
              <w:t>1.混凝土强度等</w:t>
            </w:r>
            <w:r>
              <w:rPr>
                <w:rFonts w:ascii="宋体" w:hAnsi="宋体" w:eastAsia="宋体" w:cs="宋体"/>
                <w:spacing w:val="2"/>
                <w:sz w:val="18"/>
                <w:szCs w:val="18"/>
              </w:rPr>
              <w:t xml:space="preserve"> </w:t>
            </w:r>
            <w:r>
              <w:rPr>
                <w:rFonts w:ascii="宋体" w:hAnsi="宋体" w:eastAsia="宋体" w:cs="宋体"/>
                <w:spacing w:val="-2"/>
                <w:sz w:val="18"/>
                <w:szCs w:val="18"/>
              </w:rPr>
              <w:t>级:C30</w:t>
            </w:r>
          </w:p>
        </w:tc>
        <w:tc>
          <w:tcPr>
            <w:tcW w:w="1216" w:type="dxa"/>
            <w:vAlign w:val="center"/>
          </w:tcPr>
          <w:p>
            <w:pPr>
              <w:spacing w:before="192"/>
              <w:ind w:left="162"/>
              <w:jc w:val="center"/>
              <w:rPr>
                <w:rFonts w:ascii="宋体" w:hAnsi="宋体" w:eastAsia="宋体" w:cs="宋体"/>
                <w:sz w:val="18"/>
                <w:szCs w:val="18"/>
              </w:rPr>
            </w:pPr>
            <w:r>
              <w:rPr>
                <w:rFonts w:ascii="宋体" w:hAnsi="宋体" w:eastAsia="宋体" w:cs="宋体"/>
                <w:spacing w:val="-1"/>
                <w:sz w:val="18"/>
                <w:szCs w:val="18"/>
              </w:rPr>
              <w:t>m3</w:t>
            </w:r>
          </w:p>
        </w:tc>
        <w:tc>
          <w:tcPr>
            <w:tcW w:w="2084" w:type="dxa"/>
            <w:vAlign w:val="center"/>
          </w:tcPr>
          <w:p>
            <w:pPr>
              <w:spacing w:before="219" w:line="184" w:lineRule="auto"/>
              <w:ind w:right="12"/>
              <w:jc w:val="center"/>
              <w:rPr>
                <w:rFonts w:ascii="宋体" w:hAnsi="宋体" w:eastAsia="宋体" w:cs="宋体"/>
                <w:sz w:val="18"/>
                <w:szCs w:val="18"/>
              </w:rPr>
            </w:pPr>
            <w:r>
              <w:rPr>
                <w:rFonts w:ascii="宋体" w:hAnsi="宋体" w:eastAsia="宋体" w:cs="宋体"/>
                <w:spacing w:val="-3"/>
                <w:sz w:val="18"/>
                <w:szCs w:val="18"/>
              </w:rPr>
              <w:t>120.57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650" w:type="dxa"/>
            <w:tcBorders>
              <w:left w:val="single" w:color="000000" w:sz="14" w:space="0"/>
            </w:tcBorders>
            <w:vAlign w:val="center"/>
          </w:tcPr>
          <w:p>
            <w:pPr>
              <w:spacing w:before="218" w:line="184" w:lineRule="auto"/>
              <w:ind w:left="244"/>
              <w:jc w:val="center"/>
              <w:rPr>
                <w:rFonts w:ascii="宋体" w:hAnsi="宋体" w:eastAsia="宋体" w:cs="宋体"/>
                <w:sz w:val="18"/>
                <w:szCs w:val="18"/>
              </w:rPr>
            </w:pPr>
            <w:r>
              <w:rPr>
                <w:rFonts w:ascii="宋体" w:hAnsi="宋体" w:eastAsia="宋体" w:cs="宋体"/>
                <w:spacing w:val="-10"/>
                <w:sz w:val="18"/>
                <w:szCs w:val="18"/>
              </w:rPr>
              <w:t>13</w:t>
            </w:r>
          </w:p>
        </w:tc>
        <w:tc>
          <w:tcPr>
            <w:tcW w:w="1150" w:type="dxa"/>
            <w:vAlign w:val="center"/>
          </w:tcPr>
          <w:p>
            <w:pPr>
              <w:spacing w:before="108" w:line="184" w:lineRule="auto"/>
              <w:ind w:left="55"/>
              <w:jc w:val="center"/>
              <w:rPr>
                <w:rFonts w:ascii="宋体" w:hAnsi="宋体" w:eastAsia="宋体" w:cs="宋体"/>
                <w:sz w:val="18"/>
                <w:szCs w:val="18"/>
              </w:rPr>
            </w:pPr>
            <w:r>
              <w:rPr>
                <w:rFonts w:ascii="宋体" w:hAnsi="宋体" w:eastAsia="宋体" w:cs="宋体"/>
                <w:sz w:val="18"/>
                <w:szCs w:val="18"/>
              </w:rPr>
              <w:t>0602130060</w:t>
            </w:r>
          </w:p>
          <w:p>
            <w:pPr>
              <w:spacing w:before="45" w:line="170" w:lineRule="auto"/>
              <w:ind w:left="420"/>
              <w:jc w:val="center"/>
              <w:rPr>
                <w:rFonts w:ascii="宋体" w:hAnsi="宋体" w:eastAsia="宋体" w:cs="宋体"/>
                <w:sz w:val="18"/>
                <w:szCs w:val="18"/>
              </w:rPr>
            </w:pPr>
            <w:r>
              <w:rPr>
                <w:rFonts w:ascii="宋体" w:hAnsi="宋体" w:eastAsia="宋体" w:cs="宋体"/>
                <w:spacing w:val="-4"/>
                <w:sz w:val="18"/>
                <w:szCs w:val="18"/>
              </w:rPr>
              <w:t>01</w:t>
            </w:r>
          </w:p>
        </w:tc>
        <w:tc>
          <w:tcPr>
            <w:tcW w:w="2754" w:type="dxa"/>
            <w:vAlign w:val="center"/>
          </w:tcPr>
          <w:p>
            <w:pPr>
              <w:spacing w:before="81" w:line="214" w:lineRule="auto"/>
              <w:ind w:left="29" w:right="111" w:firstLine="2"/>
              <w:jc w:val="center"/>
              <w:rPr>
                <w:rFonts w:ascii="宋体" w:hAnsi="宋体" w:eastAsia="宋体" w:cs="宋体"/>
                <w:sz w:val="18"/>
                <w:szCs w:val="18"/>
              </w:rPr>
            </w:pPr>
            <w:r>
              <w:rPr>
                <w:rFonts w:ascii="宋体" w:hAnsi="宋体" w:eastAsia="宋体" w:cs="宋体"/>
                <w:spacing w:val="-2"/>
                <w:sz w:val="18"/>
                <w:szCs w:val="18"/>
              </w:rPr>
              <w:t>溜煤眼下口巷道</w:t>
            </w:r>
            <w:r>
              <w:rPr>
                <w:rFonts w:ascii="宋体" w:hAnsi="宋体" w:eastAsia="宋体" w:cs="宋体"/>
                <w:spacing w:val="3"/>
                <w:sz w:val="18"/>
                <w:szCs w:val="18"/>
              </w:rPr>
              <w:t xml:space="preserve"> </w:t>
            </w:r>
            <w:r>
              <w:rPr>
                <w:rFonts w:ascii="宋体" w:hAnsi="宋体" w:eastAsia="宋体" w:cs="宋体"/>
                <w:spacing w:val="-4"/>
                <w:sz w:val="18"/>
                <w:szCs w:val="18"/>
              </w:rPr>
              <w:t>砌碹</w:t>
            </w:r>
          </w:p>
        </w:tc>
        <w:tc>
          <w:tcPr>
            <w:tcW w:w="6217" w:type="dxa"/>
            <w:vAlign w:val="center"/>
          </w:tcPr>
          <w:p>
            <w:pPr>
              <w:spacing w:before="81" w:line="214" w:lineRule="auto"/>
              <w:ind w:left="643" w:right="266" w:hanging="347"/>
              <w:jc w:val="center"/>
              <w:rPr>
                <w:rFonts w:ascii="宋体" w:hAnsi="宋体" w:eastAsia="宋体" w:cs="宋体"/>
                <w:sz w:val="18"/>
                <w:szCs w:val="18"/>
              </w:rPr>
            </w:pPr>
            <w:r>
              <w:rPr>
                <w:rFonts w:ascii="宋体" w:hAnsi="宋体" w:eastAsia="宋体" w:cs="宋体"/>
                <w:spacing w:val="-3"/>
                <w:sz w:val="18"/>
                <w:szCs w:val="18"/>
              </w:rPr>
              <w:t>1.混凝土强度等</w:t>
            </w:r>
            <w:r>
              <w:rPr>
                <w:rFonts w:ascii="宋体" w:hAnsi="宋体" w:eastAsia="宋体" w:cs="宋体"/>
                <w:spacing w:val="2"/>
                <w:sz w:val="18"/>
                <w:szCs w:val="18"/>
              </w:rPr>
              <w:t xml:space="preserve"> </w:t>
            </w:r>
            <w:r>
              <w:rPr>
                <w:rFonts w:ascii="宋体" w:hAnsi="宋体" w:eastAsia="宋体" w:cs="宋体"/>
                <w:spacing w:val="-2"/>
                <w:sz w:val="18"/>
                <w:szCs w:val="18"/>
              </w:rPr>
              <w:t>级:C30</w:t>
            </w:r>
          </w:p>
        </w:tc>
        <w:tc>
          <w:tcPr>
            <w:tcW w:w="1216" w:type="dxa"/>
            <w:vAlign w:val="center"/>
          </w:tcPr>
          <w:p>
            <w:pPr>
              <w:spacing w:before="191"/>
              <w:ind w:left="162"/>
              <w:jc w:val="center"/>
              <w:rPr>
                <w:rFonts w:ascii="宋体" w:hAnsi="宋体" w:eastAsia="宋体" w:cs="宋体"/>
                <w:sz w:val="18"/>
                <w:szCs w:val="18"/>
              </w:rPr>
            </w:pPr>
            <w:r>
              <w:rPr>
                <w:rFonts w:ascii="宋体" w:hAnsi="宋体" w:eastAsia="宋体" w:cs="宋体"/>
                <w:spacing w:val="-1"/>
                <w:sz w:val="18"/>
                <w:szCs w:val="18"/>
              </w:rPr>
              <w:t>m3</w:t>
            </w:r>
          </w:p>
        </w:tc>
        <w:tc>
          <w:tcPr>
            <w:tcW w:w="2084" w:type="dxa"/>
            <w:vAlign w:val="center"/>
          </w:tcPr>
          <w:p>
            <w:pPr>
              <w:spacing w:before="219" w:line="183" w:lineRule="auto"/>
              <w:ind w:right="11"/>
              <w:jc w:val="center"/>
              <w:rPr>
                <w:rFonts w:ascii="宋体" w:hAnsi="宋体" w:eastAsia="宋体" w:cs="宋体"/>
                <w:sz w:val="18"/>
                <w:szCs w:val="18"/>
              </w:rPr>
            </w:pPr>
            <w:r>
              <w:rPr>
                <w:rFonts w:ascii="宋体" w:hAnsi="宋体" w:eastAsia="宋体" w:cs="宋体"/>
                <w:spacing w:val="-2"/>
                <w:sz w:val="18"/>
                <w:szCs w:val="18"/>
              </w:rPr>
              <w:t>82.3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4" w:hRule="atLeast"/>
        </w:trPr>
        <w:tc>
          <w:tcPr>
            <w:tcW w:w="650" w:type="dxa"/>
            <w:tcBorders>
              <w:left w:val="single" w:color="000000" w:sz="14" w:space="0"/>
            </w:tcBorders>
            <w:vAlign w:val="center"/>
          </w:tcPr>
          <w:p>
            <w:pPr>
              <w:pStyle w:val="12"/>
              <w:spacing w:line="275" w:lineRule="auto"/>
              <w:jc w:val="center"/>
            </w:pPr>
          </w:p>
          <w:p>
            <w:pPr>
              <w:spacing w:before="58" w:line="184" w:lineRule="auto"/>
              <w:ind w:left="244"/>
              <w:jc w:val="center"/>
              <w:rPr>
                <w:rFonts w:ascii="宋体" w:hAnsi="宋体" w:eastAsia="宋体" w:cs="宋体"/>
                <w:sz w:val="18"/>
                <w:szCs w:val="18"/>
              </w:rPr>
            </w:pPr>
            <w:r>
              <w:rPr>
                <w:rFonts w:ascii="宋体" w:hAnsi="宋体" w:eastAsia="宋体" w:cs="宋体"/>
                <w:spacing w:val="-10"/>
                <w:sz w:val="18"/>
                <w:szCs w:val="18"/>
              </w:rPr>
              <w:t>14</w:t>
            </w:r>
          </w:p>
        </w:tc>
        <w:tc>
          <w:tcPr>
            <w:tcW w:w="1150" w:type="dxa"/>
            <w:vAlign w:val="center"/>
          </w:tcPr>
          <w:p>
            <w:pPr>
              <w:spacing w:before="222" w:line="184" w:lineRule="auto"/>
              <w:ind w:left="55"/>
              <w:jc w:val="center"/>
              <w:rPr>
                <w:rFonts w:ascii="宋体" w:hAnsi="宋体" w:eastAsia="宋体" w:cs="宋体"/>
                <w:sz w:val="18"/>
                <w:szCs w:val="18"/>
              </w:rPr>
            </w:pPr>
            <w:r>
              <w:rPr>
                <w:rFonts w:ascii="宋体" w:hAnsi="宋体" w:eastAsia="宋体" w:cs="宋体"/>
                <w:sz w:val="18"/>
                <w:szCs w:val="18"/>
              </w:rPr>
              <w:t>0105030060</w:t>
            </w:r>
          </w:p>
          <w:p>
            <w:pPr>
              <w:spacing w:before="46" w:line="184" w:lineRule="auto"/>
              <w:ind w:left="420"/>
              <w:jc w:val="center"/>
              <w:rPr>
                <w:rFonts w:ascii="宋体" w:hAnsi="宋体" w:eastAsia="宋体" w:cs="宋体"/>
                <w:sz w:val="18"/>
                <w:szCs w:val="18"/>
              </w:rPr>
            </w:pPr>
            <w:r>
              <w:rPr>
                <w:rFonts w:ascii="宋体" w:hAnsi="宋体" w:eastAsia="宋体" w:cs="宋体"/>
                <w:spacing w:val="-4"/>
                <w:sz w:val="18"/>
                <w:szCs w:val="18"/>
              </w:rPr>
              <w:t>01</w:t>
            </w:r>
          </w:p>
        </w:tc>
        <w:tc>
          <w:tcPr>
            <w:tcW w:w="2754" w:type="dxa"/>
            <w:vAlign w:val="center"/>
          </w:tcPr>
          <w:p>
            <w:pPr>
              <w:pStyle w:val="12"/>
              <w:spacing w:line="248" w:lineRule="auto"/>
              <w:jc w:val="center"/>
            </w:pPr>
          </w:p>
          <w:p>
            <w:pPr>
              <w:spacing w:before="58" w:line="220" w:lineRule="auto"/>
              <w:ind w:left="43"/>
              <w:jc w:val="center"/>
              <w:rPr>
                <w:rFonts w:ascii="宋体" w:hAnsi="宋体" w:eastAsia="宋体" w:cs="宋体"/>
                <w:sz w:val="18"/>
                <w:szCs w:val="18"/>
              </w:rPr>
            </w:pPr>
            <w:r>
              <w:rPr>
                <w:rFonts w:ascii="宋体" w:hAnsi="宋体" w:eastAsia="宋体" w:cs="宋体"/>
                <w:spacing w:val="-11"/>
                <w:sz w:val="18"/>
                <w:szCs w:val="18"/>
              </w:rPr>
              <w:t>圈梁</w:t>
            </w:r>
          </w:p>
        </w:tc>
        <w:tc>
          <w:tcPr>
            <w:tcW w:w="6217" w:type="dxa"/>
            <w:vAlign w:val="center"/>
          </w:tcPr>
          <w:p>
            <w:pPr>
              <w:spacing w:before="82" w:line="220" w:lineRule="auto"/>
              <w:ind w:left="159"/>
              <w:jc w:val="center"/>
              <w:rPr>
                <w:rFonts w:ascii="宋体" w:hAnsi="宋体" w:eastAsia="宋体" w:cs="宋体"/>
                <w:sz w:val="18"/>
                <w:szCs w:val="18"/>
              </w:rPr>
            </w:pPr>
            <w:r>
              <w:rPr>
                <w:rFonts w:ascii="宋体" w:hAnsi="宋体" w:eastAsia="宋体" w:cs="宋体"/>
                <w:spacing w:val="-2"/>
                <w:sz w:val="18"/>
                <w:szCs w:val="18"/>
              </w:rPr>
              <w:t>1.混凝土种类:圈梁</w:t>
            </w:r>
          </w:p>
          <w:p>
            <w:pPr>
              <w:spacing w:before="11" w:line="220" w:lineRule="auto"/>
              <w:ind w:left="285"/>
              <w:jc w:val="center"/>
              <w:rPr>
                <w:rFonts w:ascii="宋体" w:hAnsi="宋体" w:eastAsia="宋体" w:cs="宋体"/>
                <w:sz w:val="18"/>
                <w:szCs w:val="18"/>
              </w:rPr>
            </w:pPr>
            <w:r>
              <w:rPr>
                <w:rFonts w:ascii="宋体" w:hAnsi="宋体" w:eastAsia="宋体" w:cs="宋体"/>
                <w:spacing w:val="-2"/>
                <w:sz w:val="18"/>
                <w:szCs w:val="18"/>
              </w:rPr>
              <w:t>2.混凝土强度等</w:t>
            </w:r>
          </w:p>
          <w:p>
            <w:pPr>
              <w:spacing w:before="8" w:line="198" w:lineRule="auto"/>
              <w:ind w:left="644"/>
              <w:jc w:val="center"/>
              <w:rPr>
                <w:rFonts w:hint="default" w:ascii="宋体" w:hAnsi="宋体" w:eastAsia="宋体" w:cs="宋体"/>
                <w:sz w:val="18"/>
                <w:szCs w:val="18"/>
                <w:lang w:val="en-US" w:eastAsia="zh-CN"/>
              </w:rPr>
            </w:pPr>
            <w:r>
              <w:rPr>
                <w:rFonts w:ascii="宋体" w:hAnsi="宋体" w:eastAsia="宋体" w:cs="宋体"/>
                <w:spacing w:val="-2"/>
                <w:sz w:val="18"/>
                <w:szCs w:val="18"/>
              </w:rPr>
              <w:t>级:C</w:t>
            </w:r>
            <w:r>
              <w:rPr>
                <w:rFonts w:hint="eastAsia" w:ascii="宋体" w:hAnsi="宋体" w:cs="宋体"/>
                <w:spacing w:val="-2"/>
                <w:sz w:val="18"/>
                <w:szCs w:val="18"/>
                <w:lang w:val="en-US" w:eastAsia="zh-CN"/>
              </w:rPr>
              <w:t>30</w:t>
            </w:r>
          </w:p>
        </w:tc>
        <w:tc>
          <w:tcPr>
            <w:tcW w:w="1216" w:type="dxa"/>
            <w:vAlign w:val="center"/>
          </w:tcPr>
          <w:p>
            <w:pPr>
              <w:pStyle w:val="12"/>
              <w:spacing w:line="248" w:lineRule="auto"/>
              <w:jc w:val="center"/>
            </w:pPr>
          </w:p>
          <w:p>
            <w:pPr>
              <w:spacing w:before="58"/>
              <w:ind w:left="162"/>
              <w:jc w:val="center"/>
              <w:rPr>
                <w:rFonts w:ascii="宋体" w:hAnsi="宋体" w:eastAsia="宋体" w:cs="宋体"/>
                <w:sz w:val="18"/>
                <w:szCs w:val="18"/>
              </w:rPr>
            </w:pPr>
            <w:r>
              <w:rPr>
                <w:rFonts w:ascii="宋体" w:hAnsi="宋体" w:eastAsia="宋体" w:cs="宋体"/>
                <w:spacing w:val="-1"/>
                <w:sz w:val="18"/>
                <w:szCs w:val="18"/>
              </w:rPr>
              <w:t>m3</w:t>
            </w:r>
          </w:p>
        </w:tc>
        <w:tc>
          <w:tcPr>
            <w:tcW w:w="2084" w:type="dxa"/>
            <w:vAlign w:val="center"/>
          </w:tcPr>
          <w:p>
            <w:pPr>
              <w:pStyle w:val="12"/>
              <w:spacing w:line="276" w:lineRule="auto"/>
              <w:jc w:val="center"/>
            </w:pPr>
          </w:p>
          <w:p>
            <w:pPr>
              <w:spacing w:before="58" w:line="183" w:lineRule="auto"/>
              <w:ind w:right="11"/>
              <w:jc w:val="center"/>
              <w:rPr>
                <w:rFonts w:ascii="宋体" w:hAnsi="宋体" w:eastAsia="宋体" w:cs="宋体"/>
                <w:sz w:val="18"/>
                <w:szCs w:val="18"/>
              </w:rPr>
            </w:pPr>
            <w:r>
              <w:rPr>
                <w:rFonts w:ascii="宋体" w:hAnsi="宋体" w:eastAsia="宋体" w:cs="宋体"/>
                <w:spacing w:val="-2"/>
                <w:sz w:val="18"/>
                <w:szCs w:val="18"/>
              </w:rPr>
              <w:t>8.44</w:t>
            </w:r>
          </w:p>
        </w:tc>
      </w:tr>
    </w:tbl>
    <w:p>
      <w:pPr>
        <w:spacing w:before="233" w:line="222" w:lineRule="auto"/>
        <w:jc w:val="center"/>
        <w:rPr>
          <w:rFonts w:hint="eastAsia" w:ascii="黑体" w:hAnsi="黑体" w:eastAsia="黑体" w:cs="黑体"/>
          <w:color w:val="000000" w:themeColor="text1"/>
          <w:spacing w:val="7"/>
          <w:sz w:val="43"/>
          <w:szCs w:val="43"/>
          <w:lang w:val="en-US" w:eastAsia="zh-CN"/>
          <w14:textFill>
            <w14:solidFill>
              <w14:schemeClr w14:val="tx1"/>
            </w14:solidFill>
          </w14:textFill>
        </w:rPr>
      </w:pPr>
    </w:p>
    <w:p>
      <w:pPr>
        <w:spacing w:before="233" w:line="222" w:lineRule="auto"/>
        <w:jc w:val="center"/>
        <w:rPr>
          <w:rFonts w:hint="eastAsia" w:ascii="黑体" w:hAnsi="黑体" w:eastAsia="黑体" w:cs="黑体"/>
          <w:color w:val="000000" w:themeColor="text1"/>
          <w:spacing w:val="7"/>
          <w:sz w:val="43"/>
          <w:szCs w:val="43"/>
          <w:lang w:val="en-US" w:eastAsia="zh-CN"/>
          <w14:textFill>
            <w14:solidFill>
              <w14:schemeClr w14:val="tx1"/>
            </w14:solidFill>
          </w14:textFill>
        </w:rPr>
      </w:pPr>
    </w:p>
    <w:p>
      <w:pPr>
        <w:spacing w:before="233" w:line="222" w:lineRule="auto"/>
        <w:jc w:val="center"/>
        <w:rPr>
          <w:rFonts w:hint="eastAsia" w:ascii="黑体" w:hAnsi="黑体" w:eastAsia="黑体" w:cs="黑体"/>
          <w:color w:val="000000" w:themeColor="text1"/>
          <w:spacing w:val="7"/>
          <w:sz w:val="43"/>
          <w:szCs w:val="43"/>
          <w:lang w:val="en-US" w:eastAsia="zh-CN"/>
          <w14:textFill>
            <w14:solidFill>
              <w14:schemeClr w14:val="tx1"/>
            </w14:solidFill>
          </w14:textFill>
        </w:rPr>
      </w:pPr>
    </w:p>
    <w:p>
      <w:pPr>
        <w:spacing w:before="233" w:line="222" w:lineRule="auto"/>
        <w:jc w:val="center"/>
        <w:rPr>
          <w:rFonts w:hint="eastAsia" w:ascii="黑体" w:hAnsi="黑体" w:eastAsia="黑体" w:cs="黑体"/>
          <w:color w:val="000000" w:themeColor="text1"/>
          <w:spacing w:val="7"/>
          <w:sz w:val="43"/>
          <w:szCs w:val="43"/>
          <w:lang w:val="en-US" w:eastAsia="zh-CN"/>
          <w14:textFill>
            <w14:solidFill>
              <w14:schemeClr w14:val="tx1"/>
            </w14:solidFill>
          </w14:textFill>
        </w:rPr>
      </w:pPr>
    </w:p>
    <w:p>
      <w:pPr>
        <w:spacing w:before="233" w:line="222" w:lineRule="auto"/>
        <w:jc w:val="center"/>
        <w:rPr>
          <w:rFonts w:hint="eastAsia" w:ascii="黑体" w:hAnsi="黑体" w:eastAsia="黑体" w:cs="黑体"/>
          <w:color w:val="000000" w:themeColor="text1"/>
          <w:spacing w:val="7"/>
          <w:sz w:val="43"/>
          <w:szCs w:val="43"/>
          <w:lang w:val="en-US" w:eastAsia="zh-CN"/>
          <w14:textFill>
            <w14:solidFill>
              <w14:schemeClr w14:val="tx1"/>
            </w14:solidFill>
          </w14:textFill>
        </w:rPr>
      </w:pPr>
    </w:p>
    <w:p>
      <w:pPr>
        <w:spacing w:before="233" w:line="222" w:lineRule="auto"/>
        <w:jc w:val="center"/>
        <w:rPr>
          <w:rFonts w:hint="eastAsia" w:ascii="黑体" w:hAnsi="黑体" w:eastAsia="黑体" w:cs="黑体"/>
          <w:color w:val="000000" w:themeColor="text1"/>
          <w:spacing w:val="7"/>
          <w:sz w:val="43"/>
          <w:szCs w:val="43"/>
          <w:lang w:val="en-US" w:eastAsia="zh-CN"/>
          <w14:textFill>
            <w14:solidFill>
              <w14:schemeClr w14:val="tx1"/>
            </w14:solidFill>
          </w14:textFill>
        </w:rPr>
      </w:pPr>
    </w:p>
    <w:p>
      <w:pPr>
        <w:spacing w:before="233" w:line="222" w:lineRule="auto"/>
        <w:jc w:val="center"/>
        <w:rPr>
          <w:rFonts w:hint="eastAsia" w:ascii="黑体" w:hAnsi="黑体" w:eastAsia="黑体" w:cs="黑体"/>
          <w:color w:val="000000" w:themeColor="text1"/>
          <w:spacing w:val="7"/>
          <w:sz w:val="43"/>
          <w:szCs w:val="43"/>
          <w:lang w:val="en-US" w:eastAsia="zh-CN"/>
          <w14:textFill>
            <w14:solidFill>
              <w14:schemeClr w14:val="tx1"/>
            </w14:solidFill>
          </w14:textFill>
        </w:rPr>
      </w:pPr>
    </w:p>
    <w:p>
      <w:pPr>
        <w:spacing w:before="233" w:line="222" w:lineRule="auto"/>
        <w:jc w:val="center"/>
        <w:rPr>
          <w:rFonts w:hint="eastAsia" w:ascii="黑体" w:hAnsi="黑体" w:eastAsia="黑体" w:cs="黑体"/>
          <w:color w:val="000000" w:themeColor="text1"/>
          <w:spacing w:val="7"/>
          <w:sz w:val="43"/>
          <w:szCs w:val="43"/>
          <w:lang w:val="en-US" w:eastAsia="zh-CN"/>
          <w14:textFill>
            <w14:solidFill>
              <w14:schemeClr w14:val="tx1"/>
            </w14:solidFill>
          </w14:textFill>
        </w:rPr>
      </w:pPr>
    </w:p>
    <w:p>
      <w:pPr>
        <w:spacing w:before="233" w:line="222" w:lineRule="auto"/>
        <w:jc w:val="center"/>
        <w:rPr>
          <w:rFonts w:hint="default" w:ascii="黑体" w:hAnsi="黑体" w:eastAsia="黑体" w:cs="黑体"/>
          <w:color w:val="000000" w:themeColor="text1"/>
          <w:sz w:val="43"/>
          <w:szCs w:val="43"/>
          <w:lang w:val="en-US" w:eastAsia="zh-CN"/>
          <w14:textFill>
            <w14:solidFill>
              <w14:schemeClr w14:val="tx1"/>
            </w14:solidFill>
          </w14:textFill>
        </w:rPr>
      </w:pPr>
      <w:r>
        <w:rPr>
          <w:rFonts w:hint="eastAsia" w:ascii="黑体" w:hAnsi="黑体" w:eastAsia="黑体" w:cs="黑体"/>
          <w:color w:val="000000" w:themeColor="text1"/>
          <w:spacing w:val="7"/>
          <w:sz w:val="43"/>
          <w:szCs w:val="43"/>
          <w:lang w:val="en-US" w:eastAsia="zh-CN"/>
          <w14:textFill>
            <w14:solidFill>
              <w14:schemeClr w14:val="tx1"/>
            </w14:solidFill>
          </w14:textFill>
        </w:rPr>
        <w:t>溜煤眼设计明细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3"/>
        <w:gridCol w:w="10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8" w:hRule="atLeast"/>
        </w:trPr>
        <w:tc>
          <w:tcPr>
            <w:tcW w:w="3543" w:type="dxa"/>
            <w:vAlign w:val="center"/>
          </w:tcPr>
          <w:p>
            <w:pPr>
              <w:widowControl w:val="0"/>
              <w:jc w:val="center"/>
              <w:rPr>
                <w:rFonts w:hint="eastAsia" w:ascii="仿宋" w:hAnsi="仿宋" w:eastAsia="仿宋" w:cs="仿宋"/>
                <w:sz w:val="24"/>
                <w:szCs w:val="24"/>
                <w:vertAlign w:val="baseline"/>
                <w:lang w:val="en-US" w:eastAsia="zh-CN"/>
              </w:rPr>
            </w:pPr>
            <w:r>
              <w:rPr>
                <w:rFonts w:hint="eastAsia" w:ascii="仿宋" w:hAnsi="仿宋" w:eastAsia="仿宋" w:cs="仿宋"/>
                <w:color w:val="000000" w:themeColor="text1"/>
                <w:kern w:val="0"/>
                <w:sz w:val="32"/>
                <w:szCs w:val="24"/>
                <w:lang w:val="en-US" w:eastAsia="zh-CN" w:bidi="ar"/>
                <w14:textFill>
                  <w14:solidFill>
                    <w14:schemeClr w14:val="tx1"/>
                  </w14:solidFill>
                </w14:textFill>
              </w:rPr>
              <w:t>溜煤眼设计</w:t>
            </w:r>
          </w:p>
        </w:tc>
        <w:tc>
          <w:tcPr>
            <w:tcW w:w="10631" w:type="dxa"/>
          </w:tcPr>
          <w:p>
            <w:pPr>
              <w:widowControl w:val="0"/>
              <w:spacing w:line="360" w:lineRule="auto"/>
              <w:ind w:right="42" w:rightChars="20" w:firstLine="480" w:firstLineChars="200"/>
              <w:rPr>
                <w:rFonts w:hint="eastAsia" w:ascii="仿宋" w:hAnsi="仿宋" w:eastAsia="仿宋" w:cs="仿宋"/>
                <w:sz w:val="24"/>
                <w:szCs w:val="24"/>
                <w:highlight w:val="none"/>
                <w:lang w:val="en-US" w:eastAsia="zh-CN"/>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完成溜煤眼上口破碎机基础、溜煤眼仓体、溜煤眼下口、给煤机硐室、</w:t>
            </w:r>
            <w:r>
              <w:rPr>
                <w:rFonts w:hint="eastAsia" w:ascii="仿宋" w:hAnsi="仿宋" w:eastAsia="仿宋" w:cs="仿宋"/>
                <w:sz w:val="24"/>
                <w:szCs w:val="24"/>
                <w:highlight w:val="none"/>
                <w:lang w:val="en-US" w:eastAsia="zh-CN"/>
              </w:rPr>
              <w:t>给煤机平台、3煤19联巷补强支护等整体设计，并由具有甲级设计资质的单位出具签章版设计及施工图纸。</w:t>
            </w:r>
          </w:p>
          <w:p>
            <w:pPr>
              <w:widowControl w:val="0"/>
              <w:spacing w:line="360" w:lineRule="auto"/>
              <w:ind w:right="42" w:rightChars="20" w:firstLine="360" w:firstLineChars="150"/>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要求溜煤眼采用直溜煤眼形式，包括上锁口、仓体、下锁口、给煤机硐室四部分，每个部分有单独的施工图，溜煤眼仓体要求掘进荒直径 3.5m，净直径2.9m，要求第一次为锚网支护，第二次为混凝土砌碹支护，混凝土强度等级为C30。</w:t>
            </w:r>
          </w:p>
          <w:p>
            <w:pPr>
              <w:widowControl w:val="0"/>
              <w:spacing w:line="360" w:lineRule="auto"/>
              <w:ind w:right="42" w:rightChars="20" w:firstLine="360" w:firstLineChars="150"/>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溜煤眼上口破碎机安装硐室利用原有巷道，设计时充分考虑破碎机的起吊、安装及检修。</w:t>
            </w:r>
          </w:p>
          <w:p>
            <w:pPr>
              <w:widowControl w:val="0"/>
              <w:spacing w:line="360" w:lineRule="auto"/>
              <w:ind w:right="42" w:rightChars="20" w:firstLine="360" w:firstLineChars="150"/>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要求给煤机溜槽安装单独出施工图，给煤机溜槽整体采用钢结构设计，设计时确保煤流系统能直接落至3煤主运大巷，中部不在增加运输环节。</w:t>
            </w:r>
          </w:p>
          <w:p>
            <w:pPr>
              <w:widowControl w:val="0"/>
              <w:spacing w:line="360" w:lineRule="auto"/>
              <w:ind w:right="42" w:rightChars="20" w:firstLine="360" w:firstLineChars="150"/>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 xml:space="preserve"> 要求给煤机检修平台单独出施工图，给煤机检修平台整体采用钢结构设计，检修轨道采用钢轨设计。</w:t>
            </w:r>
          </w:p>
          <w:p>
            <w:pPr>
              <w:widowControl w:val="0"/>
              <w:spacing w:line="360" w:lineRule="auto"/>
              <w:ind w:right="42" w:rightChars="20" w:firstLine="360" w:firstLineChars="150"/>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溜煤眼下口预埋件单独出施工图，溜煤眼下口要求整体采用砌碹布置。</w:t>
            </w:r>
          </w:p>
          <w:p>
            <w:pPr>
              <w:widowControl w:val="0"/>
              <w:spacing w:line="360" w:lineRule="auto"/>
              <w:ind w:right="42" w:rightChars="20" w:firstLine="360" w:firstLineChars="150"/>
              <w:rPr>
                <w:rFonts w:hint="eastAsia"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溜煤眼下口要求采用钢筋混凝土加强支护，并在施工图中明确钢筋布置。</w:t>
            </w:r>
          </w:p>
          <w:p>
            <w:pPr>
              <w:widowControl w:val="0"/>
              <w:spacing w:line="360" w:lineRule="auto"/>
              <w:ind w:right="42" w:rightChars="20" w:firstLine="360" w:firstLineChars="150"/>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溜煤眼设计中要充分考虑溜煤眼防堵、防溃、防砸、通风、排水、管线布置等因素，空气炮设备布置及安装一并设计，设计时充分考虑矿井现有设备。</w:t>
            </w:r>
          </w:p>
          <w:p>
            <w:pPr>
              <w:widowControl w:val="0"/>
              <w:spacing w:line="360" w:lineRule="auto"/>
              <w:ind w:right="42" w:rightChars="20" w:firstLine="360" w:firstLineChars="150"/>
              <w:rPr>
                <w:rFonts w:hint="default" w:ascii="仿宋" w:hAnsi="仿宋" w:eastAsia="仿宋" w:cs="仿宋"/>
                <w:color w:val="000000" w:themeColor="text1"/>
                <w:kern w:val="0"/>
                <w:sz w:val="24"/>
                <w:szCs w:val="24"/>
                <w:lang w:val="en-US" w:eastAsia="zh-CN" w:bidi="ar"/>
                <w14:textFill>
                  <w14:solidFill>
                    <w14:schemeClr w14:val="tx1"/>
                  </w14:solidFill>
                </w14:textFill>
              </w:rPr>
            </w:pPr>
            <w:r>
              <w:rPr>
                <w:rFonts w:hint="eastAsia" w:ascii="仿宋" w:hAnsi="仿宋" w:eastAsia="仿宋" w:cs="仿宋"/>
                <w:color w:val="000000" w:themeColor="text1"/>
                <w:kern w:val="0"/>
                <w:sz w:val="24"/>
                <w:szCs w:val="24"/>
                <w:lang w:val="en-US" w:eastAsia="zh-CN" w:bidi="ar"/>
                <w14:textFill>
                  <w14:solidFill>
                    <w14:schemeClr w14:val="tx1"/>
                  </w14:solidFill>
                </w14:textFill>
              </w:rPr>
              <w:t>溜煤眼设计在后期施工过程中如发现问题应积极配合采购人修改出现的遗漏和错误。</w:t>
            </w:r>
          </w:p>
          <w:p>
            <w:pPr>
              <w:pStyle w:val="2"/>
              <w:widowControl w:val="0"/>
              <w:ind w:left="0" w:leftChars="0" w:firstLine="0" w:firstLineChars="0"/>
              <w:rPr>
                <w:rFonts w:hint="eastAsia"/>
              </w:rPr>
            </w:pPr>
          </w:p>
        </w:tc>
      </w:tr>
    </w:tbl>
    <w:p>
      <w:pPr>
        <w:rPr>
          <w:rFonts w:ascii="Arial"/>
          <w:sz w:val="21"/>
        </w:rPr>
      </w:pPr>
    </w:p>
    <w:sectPr>
      <w:footerReference r:id="rId5" w:type="default"/>
      <w:pgSz w:w="16838" w:h="11906" w:orient="landscape"/>
      <w:pgMar w:top="1803" w:right="1440" w:bottom="1803" w:left="1440" w:header="851" w:footer="992" w:gutter="0"/>
      <w:pgNumType w:start="5"/>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03"/>
      <w:rPr>
        <w:rFonts w:ascii="Times New Roman" w:hAnsi="Times New Roman" w:eastAsia="Times New Roman" w:cs="Times New Roman"/>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F50CEB"/>
    <w:multiLevelType w:val="singleLevel"/>
    <w:tmpl w:val="17F50CE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ZDc2M2FmYjA2Yzg3NWZiMWRkOWU3ZWZhMDg2MjEifQ=="/>
  </w:docVars>
  <w:rsids>
    <w:rsidRoot w:val="00000000"/>
    <w:rsid w:val="01DA59CF"/>
    <w:rsid w:val="021A1444"/>
    <w:rsid w:val="04CD1409"/>
    <w:rsid w:val="07133204"/>
    <w:rsid w:val="09516020"/>
    <w:rsid w:val="09896107"/>
    <w:rsid w:val="0C395147"/>
    <w:rsid w:val="0D932F26"/>
    <w:rsid w:val="10394744"/>
    <w:rsid w:val="14890CB6"/>
    <w:rsid w:val="1A9C34E4"/>
    <w:rsid w:val="1C8D65EB"/>
    <w:rsid w:val="1E74103D"/>
    <w:rsid w:val="20BC685A"/>
    <w:rsid w:val="21450BE3"/>
    <w:rsid w:val="21CD73E2"/>
    <w:rsid w:val="22B12860"/>
    <w:rsid w:val="260C2C4A"/>
    <w:rsid w:val="26571970"/>
    <w:rsid w:val="2D0934A0"/>
    <w:rsid w:val="2DD90EBD"/>
    <w:rsid w:val="2EA51EA0"/>
    <w:rsid w:val="2EC1623F"/>
    <w:rsid w:val="30D836AE"/>
    <w:rsid w:val="32496611"/>
    <w:rsid w:val="32DF1D64"/>
    <w:rsid w:val="34072ABF"/>
    <w:rsid w:val="34A64D70"/>
    <w:rsid w:val="36A06A48"/>
    <w:rsid w:val="398E34A3"/>
    <w:rsid w:val="3A67177E"/>
    <w:rsid w:val="3C0A2C4E"/>
    <w:rsid w:val="3D0F0377"/>
    <w:rsid w:val="40355D69"/>
    <w:rsid w:val="425D7EB7"/>
    <w:rsid w:val="44A10C1E"/>
    <w:rsid w:val="458868EA"/>
    <w:rsid w:val="45B17066"/>
    <w:rsid w:val="4CAB7D3E"/>
    <w:rsid w:val="56DA342C"/>
    <w:rsid w:val="56E524FD"/>
    <w:rsid w:val="572C2339"/>
    <w:rsid w:val="5B687259"/>
    <w:rsid w:val="5CE2303B"/>
    <w:rsid w:val="5F045127"/>
    <w:rsid w:val="5F5C70D4"/>
    <w:rsid w:val="5FEB2972"/>
    <w:rsid w:val="6300421A"/>
    <w:rsid w:val="64CB4F87"/>
    <w:rsid w:val="64CB7003"/>
    <w:rsid w:val="66BB6F4B"/>
    <w:rsid w:val="6A105034"/>
    <w:rsid w:val="6A452C27"/>
    <w:rsid w:val="6B64793C"/>
    <w:rsid w:val="6F2B261F"/>
    <w:rsid w:val="76A174E1"/>
    <w:rsid w:val="76F243BB"/>
    <w:rsid w:val="78201338"/>
    <w:rsid w:val="79CD2C51"/>
    <w:rsid w:val="7EB268B9"/>
    <w:rsid w:val="7F6A7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outlineLvl w:val="0"/>
    </w:pPr>
    <w:rPr>
      <w:rFonts w:ascii="Calibri" w:hAnsi="Calibri" w:eastAsia="宋体" w:cs="Times New Roman"/>
      <w:b/>
      <w:bCs/>
      <w:sz w:val="18"/>
      <w:szCs w:val="24"/>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Block Text"/>
    <w:basedOn w:val="1"/>
    <w:autoRedefine/>
    <w:qFormat/>
    <w:uiPriority w:val="0"/>
    <w:pPr>
      <w:spacing w:line="560" w:lineRule="exact"/>
      <w:ind w:left="1" w:right="546" w:rightChars="260" w:firstLine="64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Arial" w:hAnsi="Arial" w:eastAsia="Arial" w:cs="Arial"/>
      <w:sz w:val="21"/>
      <w:szCs w:val="21"/>
      <w:lang w:val="en-US" w:eastAsia="en-US" w:bidi="ar-SA"/>
    </w:rPr>
  </w:style>
  <w:style w:type="character" w:customStyle="1" w:styleId="13">
    <w:name w:val="font11"/>
    <w:basedOn w:val="10"/>
    <w:autoRedefine/>
    <w:qFormat/>
    <w:uiPriority w:val="0"/>
    <w:rPr>
      <w:rFonts w:ascii="宋体" w:hAnsi="宋体" w:eastAsia="宋体" w:cs="宋体"/>
      <w:color w:val="000000"/>
      <w:sz w:val="16"/>
      <w:szCs w:val="16"/>
      <w:u w:val="none"/>
    </w:rPr>
  </w:style>
  <w:style w:type="character" w:customStyle="1" w:styleId="14">
    <w:name w:val="font21"/>
    <w:basedOn w:val="10"/>
    <w:autoRedefine/>
    <w:qFormat/>
    <w:uiPriority w:val="0"/>
    <w:rPr>
      <w:rFonts w:hint="default" w:ascii="Arial" w:hAnsi="Arial" w:cs="Arial"/>
      <w:color w:val="000000"/>
      <w:sz w:val="6"/>
      <w:szCs w:val="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231</Words>
  <Characters>280</Characters>
  <Lines>0</Lines>
  <Paragraphs>0</Paragraphs>
  <TotalTime>5</TotalTime>
  <ScaleCrop>false</ScaleCrop>
  <LinksUpToDate>false</LinksUpToDate>
  <CharactersWithSpaces>281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2024-01-23T01:25:00Z</dcterms:created>
  <dc:creator>通风队</dc:creator>
  <cp:lastModifiedBy>郝江杬</cp:lastModifiedBy>
  <cp:lastPrinted>2024-05-07T01:17:00Z</cp:lastPrinted>
  <dcterms:modified xsi:type="dcterms:W3CDTF">2024-08-07T07:57:57Z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9607A452B61F433CB678F881C258CF37_13</vt:lpwstr>
  </property>
</Properties>
</file>