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供应商必须为《关于公布集团公司2024-2025年法律服务项目第一批资格审查合格单位名单的通知》内蒙古能源〔2024〕234号中公布的法律服务机构名单内的单位：北京大成（内蒙古）律师事务所、北京市中伦律师事务所、北京大成律师事务所、北京市炜衡（呼和浩特）律师事务所、经世律师事务所、北京金诚同达律师事务所、北京市东卫律师事务所、北京策略（呼和浩特）律师事务所、内蒙古若辉律师事务所、北京市君合律师事务所、内蒙古东日律师事务所，提供有效期内的律师事务所执业许可证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2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07752"/>
    <w:rsid w:val="2CF47971"/>
    <w:rsid w:val="2E34016C"/>
    <w:rsid w:val="2F5A077C"/>
    <w:rsid w:val="32607A69"/>
    <w:rsid w:val="356B13C7"/>
    <w:rsid w:val="3C9765FD"/>
    <w:rsid w:val="40AE4CA5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2024-08-07T06:39:37Z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4C9C173535A646DF971B7B056FA908F5_12</vt:lpwstr>
  </property>
</Properties>
</file>