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w:t>
      </w:r>
      <w:r>
        <w:rPr>
          <w:rFonts w:hint="eastAsia" w:ascii="微软雅黑" w:hAnsi="微软雅黑" w:eastAsia="微软雅黑"/>
          <w:color w:val="000000" w:themeColor="text1"/>
          <w:lang w:val="en-US" w:eastAsia="zh-CN"/>
          <w14:textFill>
            <w14:solidFill>
              <w14:schemeClr w14:val="tx1"/>
            </w14:solidFill>
          </w14:textFill>
        </w:rPr>
        <w:t>或经总公司授权的分公司（提供</w:t>
      </w:r>
      <w:r>
        <w:rPr>
          <w:rFonts w:hint="eastAsia" w:ascii="微软雅黑" w:hAnsi="微软雅黑" w:eastAsia="微软雅黑"/>
          <w:color w:val="000000" w:themeColor="text1"/>
          <w:lang w:eastAsia="zh-CN"/>
          <w14:textFill>
            <w14:solidFill>
              <w14:schemeClr w14:val="tx1"/>
            </w14:solidFill>
          </w14:textFill>
        </w:rPr>
        <w:t>中华人民共和国境内行政管理部门登记的主体资格证书（包括但不限于营业执照、事业单位法人证书、社会团体法人登记证书等），</w:t>
      </w:r>
      <w:r>
        <w:rPr>
          <w:rFonts w:hint="eastAsia" w:ascii="微软雅黑" w:hAnsi="微软雅黑" w:eastAsia="微软雅黑"/>
          <w:color w:val="000000" w:themeColor="text1"/>
          <w:lang w:val="en-US" w:eastAsia="zh-CN"/>
          <w14:textFill>
            <w14:solidFill>
              <w14:schemeClr w14:val="tx1"/>
            </w14:solidFill>
          </w14:textFill>
        </w:rPr>
        <w:t>如为分公司需提供总公司的营业执照及针对项目的授权委托书</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661"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四、拟派技术人员要求：因育苗工程，主要技术管理人员需具有国家级农业技术工种职业资格证书，并具有近6个月2023年7月1日至今交纳社保的证明（提供职业资格证书及社保证明材料）；</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1682"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w:t>
            </w:r>
            <w:r>
              <w:rPr>
                <w:rFonts w:hint="eastAsia" w:ascii="微软雅黑" w:hAnsi="微软雅黑" w:eastAsia="微软雅黑"/>
                <w:color w:val="000000" w:themeColor="text1"/>
                <w:lang w:val="en-US" w:eastAsia="zh-CN"/>
                <w14:textFill>
                  <w14:solidFill>
                    <w14:schemeClr w14:val="tx1"/>
                  </w14:solidFill>
                </w14:textFill>
              </w:rPr>
              <w:t>职业资格证书</w:t>
            </w:r>
            <w:r>
              <w:rPr>
                <w:rFonts w:hint="eastAsia" w:ascii="微软雅黑" w:hAnsi="微软雅黑" w:eastAsia="微软雅黑"/>
                <w:color w:val="000000" w:themeColor="text1"/>
                <w14:textFill>
                  <w14:solidFill>
                    <w14:schemeClr w14:val="tx1"/>
                  </w14:solidFill>
                </w14:textFill>
              </w:rPr>
              <w:t>扫描件</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1582" w:hRule="atLeast"/>
        </w:trPr>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w:t>
            </w:r>
            <w:r>
              <w:rPr>
                <w:rFonts w:hint="eastAsia" w:ascii="微软雅黑" w:hAnsi="微软雅黑" w:eastAsia="微软雅黑"/>
                <w:color w:val="000000" w:themeColor="text1"/>
                <w:lang w:val="en-US" w:eastAsia="zh-CN"/>
                <w14:textFill>
                  <w14:solidFill>
                    <w14:schemeClr w14:val="tx1"/>
                  </w14:solidFill>
                </w14:textFill>
              </w:rPr>
              <w:t>社保证明</w:t>
            </w:r>
            <w:r>
              <w:rPr>
                <w:rFonts w:hint="eastAsia" w:ascii="微软雅黑" w:hAnsi="微软雅黑" w:eastAsia="微软雅黑"/>
                <w:color w:val="000000" w:themeColor="text1"/>
                <w14:textFill>
                  <w14:solidFill>
                    <w14:schemeClr w14:val="tx1"/>
                  </w14:solidFill>
                </w14:textFill>
              </w:rPr>
              <w:t>扫描件</w:t>
            </w:r>
          </w:p>
        </w:tc>
      </w:tr>
    </w:tbl>
    <w:p>
      <w:pPr>
        <w:pStyle w:val="11"/>
        <w:numPr>
          <w:ilvl w:val="0"/>
          <w:numId w:val="0"/>
        </w:numPr>
        <w:adjustRightInd w:val="0"/>
        <w:snapToGrid w:val="0"/>
        <w:spacing w:before="156" w:beforeLines="50" w:after="156" w:afterLines="50" w:line="360" w:lineRule="auto"/>
        <w:ind w:firstLine="240" w:firstLineChars="1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五、拟派其他人员要求；至少拟配置2名现场实施对接人员，并具有近6个月2023年7月1日至今交纳社保的证明（提供人员清单及社保证明材料）；；</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4608"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w:t>
            </w:r>
            <w:r>
              <w:rPr>
                <w:rFonts w:hint="eastAsia" w:ascii="微软雅黑" w:hAnsi="微软雅黑" w:eastAsia="微软雅黑"/>
                <w:color w:val="000000" w:themeColor="text1"/>
                <w:lang w:val="en-US" w:eastAsia="zh-CN"/>
                <w14:textFill>
                  <w14:solidFill>
                    <w14:schemeClr w14:val="tx1"/>
                  </w14:solidFill>
                </w14:textFill>
              </w:rPr>
              <w:t>人员清单</w:t>
            </w:r>
            <w:r>
              <w:rPr>
                <w:rFonts w:hint="eastAsia" w:ascii="微软雅黑" w:hAnsi="微软雅黑" w:eastAsia="微软雅黑"/>
                <w:color w:val="000000" w:themeColor="text1"/>
                <w14:textFill>
                  <w14:solidFill>
                    <w14:schemeClr w14:val="tx1"/>
                  </w14:solidFill>
                </w14:textFill>
              </w:rPr>
              <w:t>扫描件</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799" w:hRule="atLeast"/>
        </w:trPr>
        <w:tc>
          <w:tcPr>
            <w:tcW w:w="8522" w:type="dxa"/>
          </w:tcPr>
          <w:p>
            <w:pPr>
              <w:pStyle w:val="11"/>
              <w:adjustRightInd w:val="0"/>
              <w:snapToGrid w:val="0"/>
              <w:spacing w:before="156" w:beforeLines="50" w:after="156" w:afterLines="50" w:line="360" w:lineRule="auto"/>
              <w:jc w:val="left"/>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w:t>
            </w:r>
            <w:r>
              <w:rPr>
                <w:rFonts w:hint="eastAsia" w:ascii="微软雅黑" w:hAnsi="微软雅黑" w:eastAsia="微软雅黑"/>
                <w:color w:val="000000" w:themeColor="text1"/>
                <w:lang w:val="en-US" w:eastAsia="zh-CN"/>
                <w14:textFill>
                  <w14:solidFill>
                    <w14:schemeClr w14:val="tx1"/>
                  </w14:solidFill>
                </w14:textFill>
              </w:rPr>
              <w:t>许社保证明</w:t>
            </w:r>
            <w:r>
              <w:rPr>
                <w:rFonts w:hint="eastAsia" w:ascii="微软雅黑" w:hAnsi="微软雅黑" w:eastAsia="微软雅黑"/>
                <w:color w:val="000000" w:themeColor="text1"/>
                <w14:textFill>
                  <w14:solidFill>
                    <w14:schemeClr w14:val="tx1"/>
                  </w14:solidFill>
                </w14:textFill>
              </w:rPr>
              <w:t>描件</w:t>
            </w:r>
          </w:p>
          <w:p>
            <w:pPr>
              <w:pStyle w:val="11"/>
              <w:adjustRightInd w:val="0"/>
              <w:snapToGrid w:val="0"/>
              <w:spacing w:before="156" w:beforeLines="50" w:after="156" w:afterLines="50" w:line="360" w:lineRule="auto"/>
              <w:jc w:val="right"/>
              <w:rPr>
                <w:rFonts w:hint="eastAsia" w:ascii="微软雅黑" w:hAnsi="微软雅黑" w:eastAsia="微软雅黑"/>
                <w:color w:val="000000" w:themeColor="text1"/>
                <w14:textFill>
                  <w14:solidFill>
                    <w14:schemeClr w14:val="tx1"/>
                  </w14:solidFill>
                </w14:textFill>
              </w:rPr>
            </w:pPr>
          </w:p>
        </w:tc>
      </w:tr>
    </w:tbl>
    <w:p>
      <w:pPr>
        <w:pStyle w:val="11"/>
        <w:numPr>
          <w:ilvl w:val="0"/>
          <w:numId w:val="0"/>
        </w:numPr>
        <w:adjustRightInd w:val="0"/>
        <w:snapToGrid w:val="0"/>
        <w:spacing w:before="156" w:beforeLines="50" w:after="156" w:afterLines="50" w:line="360" w:lineRule="auto"/>
        <w:ind w:firstLine="240" w:firstLineChars="100"/>
        <w:jc w:val="both"/>
        <w:rPr>
          <w:rFonts w:hint="default"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六、关于响应其他要求中事宜的承诺（提供承诺函）；</w:t>
      </w:r>
    </w:p>
    <w:p>
      <w:pPr>
        <w:pStyle w:val="11"/>
        <w:numPr>
          <w:ilvl w:val="0"/>
          <w:numId w:val="0"/>
        </w:numPr>
        <w:adjustRightInd w:val="0"/>
        <w:snapToGrid w:val="0"/>
        <w:spacing w:before="156" w:beforeLines="50" w:after="156" w:afterLines="50" w:line="360" w:lineRule="auto"/>
        <w:ind w:leftChars="200"/>
        <w:jc w:val="both"/>
        <w:rPr>
          <w:rFonts w:hint="eastAsia" w:ascii="微软雅黑" w:hAnsi="微软雅黑" w:eastAsia="微软雅黑"/>
          <w:color w:val="000000" w:themeColor="text1"/>
          <w:lang w:val="en-US" w:eastAsia="zh-CN"/>
          <w14:textFill>
            <w14:solidFill>
              <w14:schemeClr w14:val="tx1"/>
            </w14:solidFill>
          </w14:textFill>
        </w:rPr>
      </w:pP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1、成交供应商负责地上原有树木移栽、地下杂物清理；地面平整及回填（回填育苗田黑土由成交供应商负责）成交供应商负责大棚间距便道铺设，成交供应商负责移动式喷灌系统至晒水池的链接（管道由成交供应商负责）。</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2、成交供应商按合同规定的设备型号、数量将设备免费送达根河森泰园林绿化有限公司，并保证按合同要求按时完成设备安装、调试、启动运行工作。</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3、成交供应商按照合同要求测试所有硬件、软件；提供详细的技术培训。</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4、成交供应商许承诺所有设提供三年质保、终身保修，凡设备出现故障接到根河森泰园林有限公司的保修电话后1日内必须到达现场解决问题。</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5、成交供应商需对根河森泰园林有限公司进行定期回访，对设备的隐含故障源进行监测及排除。。</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如出现不符合上述情况的，采购人有权取消成交供应商的成交资格。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供应商须提供承诺函，内容包含但不限于“1、承诺已充分了解项目现场实际情况，由于未参加现场踏勘而导致对项目实际情况不了解而无法按时保质完成服务的，一切责任由供应商全部承担；2、需采购人配合协调部分应在竞价结束前通过采购人确认，否则视为不需要采购人协调配合工作，采购人有权拒绝其不合理要求”；</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numPr>
                <w:ilvl w:val="0"/>
                <w:numId w:val="2"/>
              </w:numPr>
              <w:spacing w:line="360" w:lineRule="auto"/>
              <w:ind w:firstLine="480" w:firstLineChars="200"/>
              <w:rPr>
                <w:rFonts w:hint="eastAsia" w:hAnsi="宋体"/>
                <w:sz w:val="24"/>
                <w:szCs w:val="21"/>
                <w:lang w:eastAsia="zh-CN"/>
              </w:rPr>
            </w:pPr>
            <w:r>
              <w:rPr>
                <w:rFonts w:hint="eastAsia" w:hAnsi="宋体"/>
                <w:sz w:val="24"/>
                <w:szCs w:val="21"/>
                <w:lang w:eastAsia="zh-CN"/>
              </w:rPr>
              <w:t>承诺已完成现场踏勘，充分了解项目现场实际情况和采购人要求；</w:t>
            </w:r>
          </w:p>
          <w:p>
            <w:pPr>
              <w:numPr>
                <w:ilvl w:val="0"/>
                <w:numId w:val="0"/>
              </w:numPr>
              <w:spacing w:line="360" w:lineRule="auto"/>
              <w:ind w:firstLine="480" w:firstLineChars="200"/>
              <w:rPr>
                <w:rFonts w:hint="eastAsia" w:hAnsi="宋体"/>
                <w:sz w:val="24"/>
                <w:szCs w:val="21"/>
                <w:lang w:eastAsia="zh-CN"/>
              </w:rPr>
            </w:pPr>
            <w:r>
              <w:rPr>
                <w:rFonts w:hint="eastAsia" w:hAnsi="宋体"/>
                <w:sz w:val="24"/>
                <w:szCs w:val="21"/>
                <w:lang w:eastAsia="zh-CN"/>
              </w:rPr>
              <w:t>2、需采购人配合协调部分应在竞价结束前通过采购人确认，否则视为不需要采购人协调配合工作，采购人有权拒绝其不合理要求。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如违反上述情况，采购人有权取消成交供应商的成交资格。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1"/>
              <w:adjustRightInd w:val="0"/>
              <w:snapToGrid w:val="0"/>
              <w:spacing w:before="156" w:beforeLines="50" w:after="156" w:afterLines="50" w:line="360" w:lineRule="auto"/>
              <w:jc w:val="right"/>
              <w:rPr>
                <w:rFonts w:ascii="微软雅黑" w:hAnsi="微软雅黑" w:eastAsia="微软雅黑"/>
                <w:color w:val="000000" w:themeColor="text1"/>
                <w14:textFill>
                  <w14:solidFill>
                    <w14:schemeClr w14:val="tx1"/>
                  </w14:solidFill>
                </w14:textFill>
              </w:rPr>
            </w:pPr>
            <w:r>
              <w:rPr>
                <w:rFonts w:hint="eastAsia"/>
                <w:sz w:val="24"/>
                <w:szCs w:val="21"/>
                <w:lang w:val="en-US" w:eastAsia="zh-CN"/>
              </w:rPr>
              <w:t>年  月  日</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八、</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spacing w:line="240" w:lineRule="auto"/>
        <w:ind w:firstLine="0" w:firstLineChars="0"/>
        <w:rPr>
          <w:rFonts w:hAnsi="宋体"/>
          <w:sz w:val="24"/>
          <w:szCs w:val="21"/>
        </w:rPr>
      </w:pP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pStyle w:val="11"/>
        <w:numPr>
          <w:numId w:val="0"/>
        </w:numPr>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九、</w:t>
      </w:r>
      <w:bookmarkStart w:id="0" w:name="_GoBack"/>
      <w:bookmarkEnd w:id="0"/>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分项报价表</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按要求填写完整</w:t>
      </w:r>
      <w:r>
        <w:rPr>
          <w:rFonts w:hint="eastAsia" w:ascii="微软雅黑" w:hAnsi="微软雅黑" w:eastAsia="微软雅黑"/>
          <w:color w:val="000000" w:themeColor="text1"/>
          <w:lang w:eastAsia="zh-CN"/>
          <w14:textFill>
            <w14:solidFill>
              <w14:schemeClr w14:val="tx1"/>
            </w14:solidFill>
          </w14:textFill>
        </w:rPr>
        <w:t>。</w:t>
      </w:r>
    </w:p>
    <w:p>
      <w:pPr>
        <w:pStyle w:val="11"/>
        <w:numPr>
          <w:ilvl w:val="0"/>
          <w:numId w:val="0"/>
        </w:numPr>
        <w:adjustRightInd w:val="0"/>
        <w:snapToGrid w:val="0"/>
        <w:spacing w:before="156" w:beforeLines="50" w:after="156" w:afterLines="50" w:line="360" w:lineRule="auto"/>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按附件1清单进行编制填写</w:t>
      </w:r>
    </w:p>
    <w:p>
      <w:pPr>
        <w:pStyle w:val="11"/>
        <w:numPr>
          <w:ilvl w:val="0"/>
          <w:numId w:val="0"/>
        </w:numPr>
        <w:adjustRightInd w:val="0"/>
        <w:snapToGrid w:val="0"/>
        <w:spacing w:before="156" w:beforeLines="50" w:after="156" w:afterLines="50" w:line="360" w:lineRule="auto"/>
        <w:jc w:val="both"/>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pStyle w:val="11"/>
        <w:numPr>
          <w:ilvl w:val="0"/>
          <w:numId w:val="0"/>
        </w:numPr>
        <w:adjustRightInd w:val="0"/>
        <w:snapToGrid w:val="0"/>
        <w:spacing w:before="156" w:beforeLines="50" w:after="156" w:afterLines="50" w:line="360" w:lineRule="auto"/>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1、不按此分项报价表报价或缺项、漏项的属于无效报价；</w:t>
      </w:r>
    </w:p>
    <w:p>
      <w:pPr>
        <w:pStyle w:val="11"/>
        <w:numPr>
          <w:ilvl w:val="0"/>
          <w:numId w:val="4"/>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报价超出最高限价属于无效报价；</w:t>
      </w:r>
    </w:p>
    <w:p>
      <w:pPr>
        <w:pStyle w:val="11"/>
        <w:numPr>
          <w:ilvl w:val="0"/>
          <w:numId w:val="4"/>
        </w:numPr>
        <w:adjustRightInd w:val="0"/>
        <w:snapToGrid w:val="0"/>
        <w:spacing w:before="156" w:beforeLines="50" w:after="156" w:afterLines="50" w:line="360" w:lineRule="auto"/>
        <w:ind w:firstLine="420" w:firstLineChars="20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报价以“元”为单位，如需保留小数位，按照四舍五入保留两位小数。</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5"/>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05EF5ABC"/>
    <w:multiLevelType w:val="singleLevel"/>
    <w:tmpl w:val="05EF5ABC"/>
    <w:lvl w:ilvl="0" w:tentative="0">
      <w:start w:val="2"/>
      <w:numFmt w:val="decimal"/>
      <w:suff w:val="nothing"/>
      <w:lvlText w:val="%1、"/>
      <w:lvlJc w:val="left"/>
    </w:lvl>
  </w:abstractNum>
  <w:abstractNum w:abstractNumId="2">
    <w:nsid w:val="227AC998"/>
    <w:multiLevelType w:val="singleLevel"/>
    <w:tmpl w:val="227AC998"/>
    <w:lvl w:ilvl="0" w:tentative="0">
      <w:start w:val="3"/>
      <w:numFmt w:val="chineseCounting"/>
      <w:suff w:val="nothing"/>
      <w:lvlText w:val="%1、"/>
      <w:lvlJc w:val="left"/>
      <w:rPr>
        <w:rFonts w:hint="eastAsia"/>
      </w:rPr>
    </w:lvl>
  </w:abstractNum>
  <w:abstractNum w:abstractNumId="3">
    <w:nsid w:val="52C2FC00"/>
    <w:multiLevelType w:val="singleLevel"/>
    <w:tmpl w:val="52C2FC00"/>
    <w:lvl w:ilvl="0" w:tentative="0">
      <w:start w:val="1"/>
      <w:numFmt w:val="decimal"/>
      <w:suff w:val="nothing"/>
      <w:lvlText w:val="%1、"/>
      <w:lvlJc w:val="left"/>
    </w:lvl>
  </w:abstractNum>
  <w:abstractNum w:abstractNumId="4">
    <w:nsid w:val="77060B0B"/>
    <w:multiLevelType w:val="singleLevel"/>
    <w:tmpl w:val="77060B0B"/>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Njk0NGMyMTM0ZTA3YmQ5YjU4YmJjZTI3MDZiYz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3EA6F34"/>
    <w:rsid w:val="047D794B"/>
    <w:rsid w:val="08A2174C"/>
    <w:rsid w:val="0A122902"/>
    <w:rsid w:val="0D9756D8"/>
    <w:rsid w:val="0EF32D02"/>
    <w:rsid w:val="0F7756E1"/>
    <w:rsid w:val="13AA206A"/>
    <w:rsid w:val="14DB04C0"/>
    <w:rsid w:val="170220CE"/>
    <w:rsid w:val="17C92852"/>
    <w:rsid w:val="1B6C00C4"/>
    <w:rsid w:val="1C7F397A"/>
    <w:rsid w:val="1CFC48EF"/>
    <w:rsid w:val="1D756E18"/>
    <w:rsid w:val="22836D67"/>
    <w:rsid w:val="23730E3C"/>
    <w:rsid w:val="26076B01"/>
    <w:rsid w:val="2657371E"/>
    <w:rsid w:val="269E134D"/>
    <w:rsid w:val="28471987"/>
    <w:rsid w:val="2BDC7050"/>
    <w:rsid w:val="2CF47971"/>
    <w:rsid w:val="2E34016C"/>
    <w:rsid w:val="2E5642BC"/>
    <w:rsid w:val="2F5A077C"/>
    <w:rsid w:val="32607A69"/>
    <w:rsid w:val="337C2D08"/>
    <w:rsid w:val="34270BD4"/>
    <w:rsid w:val="356B13C7"/>
    <w:rsid w:val="39F82C1F"/>
    <w:rsid w:val="3C9765FD"/>
    <w:rsid w:val="3EDF3E59"/>
    <w:rsid w:val="428E19BE"/>
    <w:rsid w:val="431922A3"/>
    <w:rsid w:val="43A7763B"/>
    <w:rsid w:val="457219C0"/>
    <w:rsid w:val="46D76164"/>
    <w:rsid w:val="4BF73532"/>
    <w:rsid w:val="4D8D4D74"/>
    <w:rsid w:val="4E810EB6"/>
    <w:rsid w:val="59A21062"/>
    <w:rsid w:val="5DC673A8"/>
    <w:rsid w:val="62A77132"/>
    <w:rsid w:val="67416B13"/>
    <w:rsid w:val="675A710F"/>
    <w:rsid w:val="676013FA"/>
    <w:rsid w:val="68E7585E"/>
    <w:rsid w:val="6F2614AD"/>
    <w:rsid w:val="777501D2"/>
    <w:rsid w:val="7BDD1145"/>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NTKO</cp:lastModifiedBy>
  <dcterms:modified xsi:type="dcterms:W3CDTF">2024-07-26T09:14:20Z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