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四、供应商提供建设行政主管部门颁发的有效期内的建筑工程施工总承包三级及以上资质，同时提供有效的安全生产许可证（注：根据《建设工程企业资质管理制度改革方案》，供应商资质包含同等级的新资质）</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五、项目经理要求：提供建设行政主管部门颁发的建筑工程专业二级及以上注册建造师证书，提供有效的安全生产考核合格证书；提供未担任其他在建工程项目的建造师承诺书，格式自拟</w:t>
      </w:r>
      <w:r>
        <w:rPr>
          <w:rFonts w:hint="eastAsia" w:ascii="微软雅黑" w:hAnsi="微软雅黑" w:eastAsia="微软雅黑"/>
          <w:color w:val="000000" w:themeColor="text1"/>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供应商须提供承诺函，内容包含但不限于“1、承诺已充分了解项目现场实际情况，由于未参加现场踏勘而导致对项目实际情况不了解而无法按时保质完成服务的，一切责任由供应商全部责任；2、需采购人配合协调部分应在竞价结束前通过采购人确认，否则视为不需要采购人协调配合工作，采购人有权拒绝其不合理要求。”；</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eastAsia="zh-CN"/>
              </w:rPr>
              <w:t>1、承诺已充分了解项目现场实际情况，由于未参加现场踏勘而导致对项目实际情况不了解而无法按时保质完成服务的，一切责任由供应商全部责任；2、需采购人配合协调部分应在竞价结束前通过采购人确认，否则视为不需要采购人协调配合工作，采购人有权拒绝其不合理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1"/>
              <w:adjustRightInd w:val="0"/>
              <w:snapToGrid w:val="0"/>
              <w:spacing w:before="156" w:beforeLines="50" w:after="156" w:afterLines="50" w:line="360" w:lineRule="auto"/>
              <w:jc w:val="right"/>
              <w:rPr>
                <w:rFonts w:ascii="微软雅黑" w:hAnsi="微软雅黑" w:eastAsia="微软雅黑"/>
                <w:color w:val="000000" w:themeColor="text1"/>
                <w14:textFill>
                  <w14:solidFill>
                    <w14:schemeClr w14:val="tx1"/>
                  </w14:solidFill>
                </w14:textFill>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七、提供施工组织方案，格式自拟</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八、</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spacing w:line="240" w:lineRule="auto"/>
              <w:ind w:firstLine="0" w:firstLineChars="0"/>
              <w:rPr>
                <w:rFonts w:ascii="宋体" w:hAnsi="宋体"/>
                <w:sz w:val="18"/>
                <w:szCs w:val="16"/>
              </w:rPr>
            </w:pPr>
            <w:r>
              <w:rPr>
                <w:rFonts w:hAnsi="宋体"/>
                <w:sz w:val="24"/>
                <w:szCs w:val="21"/>
              </w:rPr>
              <w:br w:type="page"/>
            </w: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lang w:val="en-US" w:eastAsia="zh-CN"/>
        </w:rPr>
      </w:pPr>
      <w:r>
        <w:rPr>
          <w:rFonts w:hint="eastAsia" w:hAnsi="宋体"/>
          <w:sz w:val="24"/>
          <w:szCs w:val="21"/>
          <w:lang w:val="en-US" w:eastAsia="zh-CN"/>
        </w:rPr>
        <w:t>日期：</w:t>
      </w:r>
    </w:p>
    <w:p>
      <w:pPr>
        <w:ind w:firstLine="4080" w:firstLineChars="1700"/>
        <w:rPr>
          <w:rFonts w:hint="eastAsia" w:hAnsi="宋体"/>
          <w:sz w:val="24"/>
          <w:szCs w:val="21"/>
          <w:lang w:val="en-US" w:eastAsia="zh-CN"/>
        </w:rPr>
      </w:pPr>
    </w:p>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九、工程量清单按要求填写完整</w:t>
      </w:r>
      <w:r>
        <w:rPr>
          <w:rFonts w:hint="eastAsia" w:ascii="微软雅黑" w:hAnsi="微软雅黑" w:eastAsia="微软雅黑"/>
          <w:color w:val="000000" w:themeColor="text1"/>
          <w14:textFill>
            <w14:solidFill>
              <w14:schemeClr w14:val="tx1"/>
            </w14:solidFill>
          </w14:textFill>
        </w:rPr>
        <w:t>。</w:t>
      </w:r>
    </w:p>
    <w:p>
      <w:pPr>
        <w:jc w:val="center"/>
        <w:rPr>
          <w:rFonts w:hint="default" w:hAnsi="宋体"/>
          <w:color w:val="FF0000"/>
          <w:sz w:val="24"/>
          <w:szCs w:val="21"/>
          <w:lang w:val="en-US" w:eastAsia="zh-CN"/>
        </w:rPr>
      </w:pPr>
      <w:bookmarkStart w:id="0" w:name="_GoBack"/>
      <w:r>
        <w:rPr>
          <w:rFonts w:hint="eastAsia" w:hAnsi="宋体"/>
          <w:color w:val="FF0000"/>
          <w:sz w:val="24"/>
          <w:szCs w:val="21"/>
          <w:lang w:val="en-US" w:eastAsia="zh-CN"/>
        </w:rPr>
        <w:t>按照附件2格式填写，系统填报总价。</w:t>
      </w:r>
    </w:p>
    <w:bookmarkEnd w:id="0"/>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MWRmNWI1NzZmOTVlNWEzYTgxNmZlMDQzZDI2NG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AAC10C9"/>
    <w:rsid w:val="0D9756D8"/>
    <w:rsid w:val="13AA206A"/>
    <w:rsid w:val="170220CE"/>
    <w:rsid w:val="1C611420"/>
    <w:rsid w:val="1C7F397A"/>
    <w:rsid w:val="1CFC48EF"/>
    <w:rsid w:val="1D756E18"/>
    <w:rsid w:val="22836D67"/>
    <w:rsid w:val="26022149"/>
    <w:rsid w:val="26076B01"/>
    <w:rsid w:val="2BDC7050"/>
    <w:rsid w:val="2CF47971"/>
    <w:rsid w:val="2E34016C"/>
    <w:rsid w:val="2F5A077C"/>
    <w:rsid w:val="32607A69"/>
    <w:rsid w:val="356B13C7"/>
    <w:rsid w:val="3C9765FD"/>
    <w:rsid w:val="431922A3"/>
    <w:rsid w:val="457219C0"/>
    <w:rsid w:val="46D76164"/>
    <w:rsid w:val="4D6C7D42"/>
    <w:rsid w:val="4D8D4D74"/>
    <w:rsid w:val="59A21062"/>
    <w:rsid w:val="5DC673A8"/>
    <w:rsid w:val="5F013C44"/>
    <w:rsid w:val="62A77132"/>
    <w:rsid w:val="67416B13"/>
    <w:rsid w:val="675A710F"/>
    <w:rsid w:val="676013FA"/>
    <w:rsid w:val="6DB909B8"/>
    <w:rsid w:val="773D40F8"/>
    <w:rsid w:val="777501D2"/>
    <w:rsid w:val="7C455AB6"/>
    <w:rsid w:val="7D824C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CGB_WJ</cp:lastModifiedBy>
  <dcterms:modified xsi:type="dcterms:W3CDTF">2024-07-19T03:25:02Z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