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一、在中华人民共和国境内依法注册的法人或非法人组织（提供中华人民共和国境内行政管理部门登记的主体资格证书（包括但不限于营业执照、事业单位法人证书、社会团体法人登记证书等））；</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w:t>
      </w:r>
      <w:r>
        <w:rPr>
          <w:rFonts w:hint="eastAsia" w:ascii="微软雅黑" w:hAnsi="微软雅黑" w:eastAsia="微软雅黑"/>
          <w:color w:val="000000" w:themeColor="text1"/>
          <w:lang w:eastAsia="zh-CN"/>
          <w14:textFill>
            <w14:solidFill>
              <w14:schemeClr w14:val="tx1"/>
            </w14:solidFill>
          </w14:textFill>
        </w:rPr>
        <w:t>未被人民法院列为失信被执行人、重大税收违法失信主体，提供信用中国（www.creditchina.gov.cn）截图，以网站查询结果为准；</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both"/>
            </w:pPr>
            <w:r>
              <w:drawing>
                <wp:inline distT="0" distB="0" distL="114300" distR="114300">
                  <wp:extent cx="5271135" cy="364363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643630"/>
                          </a:xfrm>
                          <a:prstGeom prst="rect">
                            <a:avLst/>
                          </a:prstGeom>
                          <a:noFill/>
                          <a:ln>
                            <a:noFill/>
                          </a:ln>
                        </pic:spPr>
                      </pic:pic>
                    </a:graphicData>
                  </a:graphic>
                </wp:inline>
              </w:drawing>
            </w:r>
          </w:p>
          <w:p>
            <w:pPr>
              <w:pStyle w:val="11"/>
              <w:adjustRightInd w:val="0"/>
              <w:snapToGrid w:val="0"/>
              <w:spacing w:before="156" w:beforeLines="50" w:after="156" w:afterLines="50" w:line="360" w:lineRule="auto"/>
              <w:jc w:val="both"/>
              <w:rPr>
                <w:rFonts w:hint="eastAsia"/>
                <w:lang w:eastAsia="zh-CN"/>
              </w:rPr>
            </w:pPr>
            <w:r>
              <w:drawing>
                <wp:inline distT="0" distB="0" distL="114300" distR="114300">
                  <wp:extent cx="4756150" cy="4137025"/>
                  <wp:effectExtent l="0" t="0" r="1397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56150" cy="4137025"/>
                          </a:xfrm>
                          <a:prstGeom prst="rect">
                            <a:avLst/>
                          </a:prstGeom>
                          <a:noFill/>
                          <a:ln>
                            <a:noFill/>
                          </a:ln>
                        </pic:spPr>
                      </pic:pic>
                    </a:graphicData>
                  </a:graphic>
                </wp:inline>
              </w:drawing>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drawing>
                <wp:inline distT="0" distB="0" distL="114300" distR="114300">
                  <wp:extent cx="5269230" cy="2719070"/>
                  <wp:effectExtent l="0" t="0" r="381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9230" cy="2719070"/>
                          </a:xfrm>
                          <a:prstGeom prst="rect">
                            <a:avLst/>
                          </a:prstGeom>
                          <a:noFill/>
                          <a:ln>
                            <a:noFill/>
                          </a:ln>
                        </pic:spPr>
                      </pic:pic>
                    </a:graphicData>
                  </a:graphic>
                </wp:inline>
              </w:drawing>
            </w:r>
          </w:p>
        </w:tc>
      </w:tr>
    </w:tbl>
    <w:p>
      <w:pPr>
        <w:pStyle w:val="11"/>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w:t>
      </w:r>
      <w:r>
        <w:rPr>
          <w:rFonts w:hint="eastAsia" w:ascii="微软雅黑" w:hAnsi="微软雅黑" w:eastAsia="微软雅黑"/>
          <w:color w:val="000000" w:themeColor="text1"/>
          <w14:textFill>
            <w14:solidFill>
              <w14:schemeClr w14:val="tx1"/>
            </w14:solidFill>
          </w14:textFill>
        </w:rPr>
        <w:t>应商的法定代表人或负责人为同一人或者存在控股、管理关系的不同供应商，不得参加同一标段或者未划分标段的同一采购项目</w:t>
      </w:r>
      <w:r>
        <w:rPr>
          <w:rFonts w:hint="eastAsia" w:ascii="微软雅黑" w:hAnsi="微软雅黑" w:eastAsia="微软雅黑"/>
          <w:color w:val="000000" w:themeColor="text1"/>
          <w:lang w:val="en-US" w:eastAsia="zh-CN"/>
          <w14:textFill>
            <w14:solidFill>
              <w14:schemeClr w14:val="tx1"/>
            </w14:solidFill>
          </w14:textFill>
        </w:rPr>
        <w:t>竞价</w:t>
      </w:r>
      <w:r>
        <w:rPr>
          <w:rFonts w:hint="eastAsia" w:ascii="微软雅黑" w:hAnsi="微软雅黑" w:eastAsia="微软雅黑"/>
          <w:color w:val="000000" w:themeColor="text1"/>
          <w14:textFill>
            <w14:solidFill>
              <w14:schemeClr w14:val="tx1"/>
            </w14:solidFill>
          </w14:textFill>
        </w:rPr>
        <w:t>（提供承诺函）；</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pPr>
              <w:spacing w:line="360" w:lineRule="auto"/>
              <w:ind w:firstLine="480" w:firstLineChars="200"/>
              <w:rPr>
                <w:rFonts w:hint="eastAsia" w:hAnsi="宋体"/>
                <w:sz w:val="24"/>
                <w:szCs w:val="21"/>
                <w:lang w:eastAsia="zh-CN"/>
              </w:rPr>
            </w:pPr>
            <w:r>
              <w:rPr>
                <w:rFonts w:hint="eastAsia" w:hAnsi="宋体"/>
                <w:sz w:val="24"/>
                <w:szCs w:val="21"/>
                <w:lang w:val="en-US" w:eastAsia="zh-CN"/>
              </w:rPr>
              <w:t>供应商</w:t>
            </w:r>
            <w:r>
              <w:rPr>
                <w:rFonts w:hint="eastAsia" w:hAnsi="宋体"/>
                <w:sz w:val="24"/>
                <w:szCs w:val="21"/>
                <w:lang w:eastAsia="zh-CN"/>
              </w:rPr>
              <w:t>的法定代表人或负责人为同一人或者存在控股、管理关系的不同供应商，不得参加同一标段或者未划分标段的同一采购项目</w:t>
            </w:r>
            <w:r>
              <w:rPr>
                <w:rFonts w:hint="eastAsia" w:hAnsi="宋体"/>
                <w:sz w:val="24"/>
                <w:szCs w:val="21"/>
                <w:lang w:val="en-US" w:eastAsia="zh-CN"/>
              </w:rPr>
              <w:t>竞价</w:t>
            </w:r>
            <w:r>
              <w:rPr>
                <w:rFonts w:hint="eastAsia" w:hAnsi="宋体"/>
                <w:sz w:val="24"/>
                <w:szCs w:val="21"/>
                <w:lang w:eastAsia="zh-CN"/>
              </w:rPr>
              <w:t>。</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pPr>
              <w:spacing w:line="360" w:lineRule="auto"/>
              <w:ind w:firstLine="480" w:firstLineChars="200"/>
              <w:rPr>
                <w:rFonts w:hint="eastAsia" w:hAnsi="宋体"/>
                <w:sz w:val="24"/>
                <w:szCs w:val="21"/>
                <w:lang w:val="en-US" w:eastAsia="zh-CN"/>
              </w:rPr>
            </w:pPr>
          </w:p>
          <w:p>
            <w:pPr>
              <w:spacing w:line="360" w:lineRule="auto"/>
              <w:ind w:firstLine="480" w:firstLineChars="200"/>
              <w:rPr>
                <w:rFonts w:hint="default" w:hAnsi="宋体"/>
                <w:sz w:val="24"/>
                <w:szCs w:val="21"/>
                <w:lang w:val="en-US" w:eastAsia="zh-CN"/>
              </w:rPr>
            </w:pPr>
          </w:p>
          <w:p>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pPr>
              <w:widowControl/>
              <w:adjustRightInd w:val="0"/>
              <w:snapToGrid w:val="0"/>
              <w:spacing w:line="360" w:lineRule="auto"/>
              <w:ind w:firstLine="480" w:firstLineChars="200"/>
              <w:rPr>
                <w:sz w:val="24"/>
                <w:szCs w:val="21"/>
              </w:rPr>
            </w:pPr>
          </w:p>
          <w:p>
            <w:pPr>
              <w:pStyle w:val="11"/>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Ansi="宋体"/>
                <w:sz w:val="24"/>
                <w:szCs w:val="21"/>
              </w:rPr>
              <w:t>法定代表人</w:t>
            </w:r>
            <w:r>
              <w:rPr>
                <w:rFonts w:hint="eastAsia" w:hAnsi="宋体"/>
                <w:sz w:val="24"/>
                <w:szCs w:val="21"/>
                <w:lang w:val="en-US" w:eastAsia="zh-CN"/>
              </w:rPr>
              <w:t>或</w:t>
            </w:r>
            <w:r>
              <w:rPr>
                <w:rFonts w:hAnsi="宋体"/>
                <w:sz w:val="24"/>
                <w:szCs w:val="21"/>
              </w:rPr>
              <w:t>代理人</w:t>
            </w:r>
            <w:r>
              <w:rPr>
                <w:rFonts w:hint="eastAsia" w:hAnsi="宋体"/>
                <w:sz w:val="24"/>
                <w:szCs w:val="21"/>
              </w:rPr>
              <w:t>签字</w:t>
            </w:r>
            <w:r>
              <w:rPr>
                <w:rFonts w:hint="eastAsia"/>
                <w:sz w:val="24"/>
                <w:szCs w:val="21"/>
                <w:lang w:val="en-US" w:eastAsia="zh-CN"/>
              </w:rPr>
              <w:t>或签章</w:t>
            </w:r>
            <w:r>
              <w:rPr>
                <w:rFonts w:hint="eastAsia" w:hAnsi="宋体"/>
                <w:sz w:val="24"/>
                <w:szCs w:val="21"/>
              </w:rPr>
              <w:t>：</w:t>
            </w:r>
            <w:r>
              <w:rPr>
                <w:rFonts w:hint="eastAsia"/>
                <w:sz w:val="24"/>
                <w:szCs w:val="21"/>
                <w:lang w:val="en-US" w:eastAsia="zh-CN"/>
              </w:rPr>
              <w:t xml:space="preserve">          </w:t>
            </w:r>
          </w:p>
          <w:p>
            <w:pPr>
              <w:pStyle w:val="11"/>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年  月  日</w:t>
            </w:r>
          </w:p>
        </w:tc>
      </w:tr>
    </w:tbl>
    <w:p>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四、业绩要求：供应商须上传近3年（2021年1月1日至报价截止日）至少1个炉渣粉煤灰清运服务相关业绩合同扫描件（提供业绩）；</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五、资质要求：排污许可证或生态环境部门出具的灰渣存储相关批复文件或有与处置资质单位的合作协议（含合同和处置单位排污许可证、生态环境部门出具的灰渣存储相关批复文件）（提供资质）；</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PrEx>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五、</w:t>
      </w:r>
      <w:r>
        <w:rPr>
          <w:rFonts w:hint="eastAsia" w:ascii="微软雅黑" w:hAnsi="微软雅黑" w:eastAsia="微软雅黑"/>
          <w:color w:val="000000" w:themeColor="text1"/>
          <w14:textFill>
            <w14:solidFill>
              <w14:schemeClr w14:val="tx1"/>
            </w14:solidFill>
          </w14:textFill>
        </w:rPr>
        <w:t>《竞价</w:t>
      </w:r>
      <w:r>
        <w:rPr>
          <w:rFonts w:hint="eastAsia" w:ascii="微软雅黑" w:hAnsi="微软雅黑" w:eastAsia="微软雅黑"/>
          <w:color w:val="000000" w:themeColor="text1"/>
          <w:lang w:val="en-US" w:eastAsia="zh-CN"/>
          <w14:textFill>
            <w14:solidFill>
              <w14:schemeClr w14:val="tx1"/>
            </w14:solidFill>
          </w14:textFill>
        </w:rPr>
        <w:t>授权</w:t>
      </w:r>
      <w:r>
        <w:rPr>
          <w:rFonts w:hint="eastAsia" w:ascii="微软雅黑" w:hAnsi="微软雅黑" w:eastAsia="微软雅黑"/>
          <w:color w:val="000000" w:themeColor="text1"/>
          <w14:textFill>
            <w14:solidFill>
              <w14:schemeClr w14:val="tx1"/>
            </w14:solidFill>
          </w14:textFill>
        </w:rPr>
        <w:t>报名表》按要求填写完整。</w:t>
      </w:r>
    </w:p>
    <w:p>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w:t>
      </w:r>
      <w:r>
        <w:rPr>
          <w:rFonts w:hint="eastAsia" w:ascii="宋体" w:hAnsi="宋体" w:eastAsia="宋体" w:cs="宋体"/>
          <w:sz w:val="24"/>
          <w:szCs w:val="21"/>
        </w:rPr>
        <w:t>我公司成交</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将按要求</w:t>
      </w:r>
      <w:r>
        <w:rPr>
          <w:rFonts w:hint="eastAsia" w:ascii="宋体" w:hAnsi="宋体" w:eastAsia="宋体" w:cs="宋体"/>
          <w:sz w:val="24"/>
          <w:szCs w:val="21"/>
        </w:rPr>
        <w:t>在成交通知书发出后5个工作日</w:t>
      </w:r>
      <w:r>
        <w:rPr>
          <w:rFonts w:hint="eastAsia" w:ascii="宋体" w:hAnsi="宋体" w:eastAsia="宋体" w:cs="宋体"/>
          <w:sz w:val="24"/>
          <w:szCs w:val="21"/>
          <w:lang w:val="en-US" w:eastAsia="zh-CN"/>
        </w:rPr>
        <w:t>/3个工作日</w:t>
      </w:r>
      <w:r>
        <w:rPr>
          <w:rFonts w:hint="eastAsia" w:ascii="宋体" w:hAnsi="宋体" w:eastAsia="宋体" w:cs="宋体"/>
          <w:sz w:val="24"/>
          <w:szCs w:val="21"/>
        </w:rPr>
        <w:t>内向</w:t>
      </w:r>
      <w:r>
        <w:rPr>
          <w:rFonts w:hint="eastAsia" w:ascii="宋体" w:hAnsi="宋体" w:eastAsia="宋体" w:cs="宋体"/>
          <w:sz w:val="24"/>
          <w:szCs w:val="21"/>
          <w:lang w:val="en-US" w:eastAsia="zh-CN"/>
        </w:rPr>
        <w:t>采购组织方</w:t>
      </w:r>
      <w:r>
        <w:rPr>
          <w:rFonts w:hint="eastAsia" w:ascii="宋体" w:hAnsi="宋体" w:eastAsia="宋体" w:cs="宋体"/>
          <w:sz w:val="24"/>
          <w:szCs w:val="21"/>
        </w:rPr>
        <w:t>交纳服务费，</w:t>
      </w:r>
      <w:r>
        <w:rPr>
          <w:rFonts w:hint="eastAsia" w:ascii="宋体" w:hAnsi="宋体" w:eastAsia="宋体" w:cs="宋体"/>
          <w:sz w:val="24"/>
          <w:szCs w:val="21"/>
          <w:lang w:val="en-US" w:eastAsia="zh-CN"/>
        </w:rPr>
        <w:t>否则采购组织方</w:t>
      </w:r>
      <w:r>
        <w:rPr>
          <w:rFonts w:hint="eastAsia" w:ascii="宋体" w:hAnsi="宋体" w:eastAsia="宋体" w:cs="宋体"/>
          <w:sz w:val="24"/>
          <w:szCs w:val="21"/>
        </w:rPr>
        <w:t>有权从</w:t>
      </w:r>
      <w:r>
        <w:rPr>
          <w:rFonts w:hint="eastAsia" w:ascii="宋体" w:hAnsi="宋体" w:eastAsia="宋体" w:cs="宋体"/>
          <w:sz w:val="24"/>
          <w:szCs w:val="21"/>
          <w:lang w:val="en-US" w:eastAsia="zh-CN"/>
        </w:rPr>
        <w:t>我公司</w:t>
      </w:r>
      <w:r>
        <w:rPr>
          <w:rFonts w:hint="eastAsia" w:ascii="宋体" w:hAnsi="宋体" w:eastAsia="宋体" w:cs="宋体"/>
          <w:sz w:val="24"/>
          <w:szCs w:val="21"/>
        </w:rPr>
        <w:t>报价保证金中扣除</w:t>
      </w:r>
      <w:r>
        <w:rPr>
          <w:rFonts w:hint="eastAsia" w:ascii="宋体" w:hAnsi="宋体" w:eastAsia="宋体" w:cs="宋体"/>
          <w:sz w:val="24"/>
          <w:szCs w:val="21"/>
          <w:lang w:eastAsia="zh-CN"/>
        </w:rPr>
        <w:t>。</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4"/>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p>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pPr>
              <w:jc w:val="center"/>
            </w:pPr>
          </w:p>
          <w:p>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身份证正面</w:t>
            </w:r>
          </w:p>
        </w:tc>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tc>
      </w:tr>
    </w:tbl>
    <w:p>
      <w:pPr>
        <w:spacing w:line="240" w:lineRule="auto"/>
        <w:ind w:firstLine="0" w:firstLineChars="0"/>
        <w:rPr>
          <w:rFonts w:hAnsi="宋体"/>
          <w:sz w:val="24"/>
          <w:szCs w:val="21"/>
        </w:rPr>
      </w:pPr>
      <w:r>
        <w:rPr>
          <w:rFonts w:hAnsi="宋体"/>
          <w:sz w:val="24"/>
          <w:szCs w:val="21"/>
        </w:rPr>
        <w:br w:type="page"/>
      </w:r>
    </w:p>
    <w:tbl>
      <w:tblPr>
        <w:tblStyle w:val="13"/>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828" w:type="dxa"/>
            <w:vAlign w:val="center"/>
          </w:tcPr>
          <w:p>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pPr>
        <w:rPr>
          <w:rFonts w:hint="eastAsia" w:hAnsi="宋体"/>
          <w:sz w:val="24"/>
          <w:szCs w:val="21"/>
        </w:rPr>
      </w:pPr>
    </w:p>
    <w:p>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pPr>
        <w:ind w:firstLine="4080" w:firstLineChars="1700"/>
        <w:rPr>
          <w:rFonts w:hint="eastAsia" w:hAnsi="宋体"/>
          <w:sz w:val="24"/>
          <w:szCs w:val="21"/>
          <w:lang w:val="en-US" w:eastAsia="zh-CN"/>
        </w:rPr>
      </w:pPr>
    </w:p>
    <w:p>
      <w:pPr>
        <w:ind w:firstLine="4080" w:firstLineChars="1700"/>
        <w:rPr>
          <w:rFonts w:hint="eastAsia" w:hAnsi="宋体"/>
          <w:sz w:val="24"/>
          <w:szCs w:val="21"/>
        </w:rPr>
      </w:pPr>
      <w:r>
        <w:rPr>
          <w:rFonts w:hint="eastAsia" w:hAnsi="宋体"/>
          <w:sz w:val="24"/>
          <w:szCs w:val="21"/>
          <w:lang w:val="en-US" w:eastAsia="zh-CN"/>
        </w:rPr>
        <w:t>日期：</w:t>
      </w:r>
    </w:p>
    <w:p>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bookmarkStart w:id="0" w:name="_GoBack"/>
      <w:bookmarkEnd w:id="0"/>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供应商应在</w:t>
      </w:r>
      <w:r>
        <w:rPr>
          <w:rFonts w:hint="eastAsia" w:ascii="微软雅黑" w:hAnsi="微软雅黑" w:eastAsia="微软雅黑"/>
          <w:b/>
          <w:color w:val="002060"/>
          <w:sz w:val="24"/>
          <w:highlight w:val="none"/>
          <w:u w:val="single"/>
          <w:lang w:val="en-US" w:eastAsia="zh-CN"/>
        </w:rPr>
        <w:t>报价截止时间前</w:t>
      </w:r>
      <w:r>
        <w:rPr>
          <w:rFonts w:hint="eastAsia" w:ascii="微软雅黑" w:hAnsi="微软雅黑" w:eastAsia="微软雅黑"/>
          <w:b/>
          <w:color w:val="002060"/>
          <w:sz w:val="24"/>
          <w:highlight w:val="none"/>
          <w:u w:val="single"/>
        </w:rPr>
        <w:t>将以</w:t>
      </w:r>
      <w:r>
        <w:rPr>
          <w:rFonts w:hint="eastAsia" w:ascii="微软雅黑" w:hAnsi="微软雅黑" w:eastAsia="微软雅黑"/>
          <w:b/>
          <w:color w:val="002060"/>
          <w:sz w:val="24"/>
          <w:highlight w:val="none"/>
          <w:u w:val="single"/>
          <w:lang w:val="en-US" w:eastAsia="zh-CN"/>
        </w:rPr>
        <w:t>上</w:t>
      </w:r>
      <w:r>
        <w:rPr>
          <w:rFonts w:hint="eastAsia" w:ascii="微软雅黑" w:hAnsi="微软雅黑" w:eastAsia="微软雅黑"/>
          <w:b/>
          <w:color w:val="002060"/>
          <w:sz w:val="24"/>
          <w:highlight w:val="none"/>
          <w:u w:val="single"/>
        </w:rPr>
        <w:t>资料</w:t>
      </w:r>
      <w:r>
        <w:rPr>
          <w:rFonts w:hint="eastAsia" w:ascii="微软雅黑" w:hAnsi="微软雅黑" w:eastAsia="微软雅黑"/>
          <w:b/>
          <w:color w:val="002060"/>
          <w:sz w:val="24"/>
          <w:highlight w:val="none"/>
          <w:u w:val="single"/>
          <w:lang w:val="en-US" w:eastAsia="zh-CN"/>
        </w:rPr>
        <w:t>扫描为一个文件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要求提供原件的扫描件或复印件加盖公章扫描件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并按采购公告要求</w:t>
      </w:r>
      <w:r>
        <w:rPr>
          <w:rFonts w:hint="eastAsia" w:ascii="微软雅黑" w:hAnsi="微软雅黑" w:eastAsia="微软雅黑"/>
          <w:b/>
          <w:color w:val="002060"/>
          <w:sz w:val="24"/>
          <w:highlight w:val="none"/>
          <w:u w:val="single"/>
        </w:rPr>
        <w:t>线上递交：</w:t>
      </w:r>
    </w:p>
    <w:p>
      <w:pPr>
        <w:widowControl/>
        <w:numPr>
          <w:ilvl w:val="0"/>
          <w:numId w:val="3"/>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3、以上格式仅供参考，供应商须仔细阅读网上竞价公告中的供应商资格审查标准，并按要求将所有供应商资格审查资料制作于本格式中，如有遗漏，导致的相应后果由供应商自行承担。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rPr>
        <w:rStyle w:val="17"/>
      </w:rPr>
      <w:instrText xml:space="preserve"> PAGE </w:instrText>
    </w:r>
    <w:r>
      <w:fldChar w:fldCharType="separate"/>
    </w:r>
    <w:r>
      <w:rPr>
        <w:rStyle w:val="17"/>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227AC998"/>
    <w:multiLevelType w:val="singleLevel"/>
    <w:tmpl w:val="227AC998"/>
    <w:lvl w:ilvl="0" w:tentative="0">
      <w:start w:val="3"/>
      <w:numFmt w:val="chineseCounting"/>
      <w:suff w:val="nothing"/>
      <w:lvlText w:val="%1、"/>
      <w:lvlJc w:val="left"/>
      <w:rPr>
        <w:rFonts w:hint="eastAsia"/>
      </w:rPr>
    </w:lvl>
  </w:abstractNum>
  <w:abstractNum w:abstractNumId="2">
    <w:nsid w:val="77060B0B"/>
    <w:multiLevelType w:val="singleLevel"/>
    <w:tmpl w:val="77060B0B"/>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ZDc2M2FmYjA2Yzg3NWZiMWRkOWU3ZWZhMDg2MjEifQ=="/>
  </w:docVars>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D73DA"/>
    <w:rsid w:val="00FE68FA"/>
    <w:rsid w:val="047D794B"/>
    <w:rsid w:val="0D9756D8"/>
    <w:rsid w:val="13AA206A"/>
    <w:rsid w:val="170220CE"/>
    <w:rsid w:val="1C7F397A"/>
    <w:rsid w:val="1CFC48EF"/>
    <w:rsid w:val="1D756E18"/>
    <w:rsid w:val="22836D67"/>
    <w:rsid w:val="26076B01"/>
    <w:rsid w:val="2BDC7050"/>
    <w:rsid w:val="2CF47971"/>
    <w:rsid w:val="2E34016C"/>
    <w:rsid w:val="2F5A077C"/>
    <w:rsid w:val="32607A69"/>
    <w:rsid w:val="356B13C7"/>
    <w:rsid w:val="3C9765FD"/>
    <w:rsid w:val="431922A3"/>
    <w:rsid w:val="457219C0"/>
    <w:rsid w:val="46D76164"/>
    <w:rsid w:val="4D8D4D74"/>
    <w:rsid w:val="589F398E"/>
    <w:rsid w:val="59A21062"/>
    <w:rsid w:val="5DC673A8"/>
    <w:rsid w:val="62A77132"/>
    <w:rsid w:val="67416B13"/>
    <w:rsid w:val="675A710F"/>
    <w:rsid w:val="676013FA"/>
    <w:rsid w:val="777501D2"/>
    <w:rsid w:val="7C455A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6"/>
    <w:autoRedefine/>
    <w:qFormat/>
    <w:uiPriority w:val="0"/>
    <w:pPr>
      <w:spacing w:after="120"/>
    </w:pPr>
    <w:rPr>
      <w:rFonts w:ascii="Times New Roman" w:hAnsi="Times New Roman"/>
      <w:szCs w:val="24"/>
    </w:rPr>
  </w:style>
  <w:style w:type="paragraph" w:styleId="5">
    <w:name w:val="Body Text Indent"/>
    <w:basedOn w:val="1"/>
    <w:link w:val="25"/>
    <w:autoRedefine/>
    <w:qFormat/>
    <w:uiPriority w:val="0"/>
    <w:pPr>
      <w:ind w:firstLine="830" w:firstLineChars="352"/>
    </w:pPr>
    <w:rPr>
      <w:rFonts w:ascii="仿宋_GB2312" w:hAnsi="Times New Roman" w:eastAsia="仿宋_GB2312"/>
      <w:sz w:val="32"/>
    </w:rPr>
  </w:style>
  <w:style w:type="paragraph" w:styleId="6">
    <w:name w:val="Plain Text"/>
    <w:basedOn w:val="1"/>
    <w:link w:val="21"/>
    <w:qFormat/>
    <w:uiPriority w:val="0"/>
    <w:rPr>
      <w:rFonts w:ascii="宋体" w:hAnsi="Courier New" w:cs="Courier New"/>
      <w:szCs w:val="21"/>
    </w:rPr>
  </w:style>
  <w:style w:type="paragraph" w:styleId="7">
    <w:name w:val="Date"/>
    <w:basedOn w:val="1"/>
    <w:next w:val="1"/>
    <w:link w:val="22"/>
    <w:autoRedefine/>
    <w:qFormat/>
    <w:uiPriority w:val="0"/>
    <w:pPr>
      <w:ind w:left="100" w:leftChars="2500"/>
    </w:pPr>
    <w:rPr>
      <w:rFonts w:ascii="宋体" w:hAnsi="Courier New" w:cs="Courier New"/>
      <w:szCs w:val="21"/>
    </w:rPr>
  </w:style>
  <w:style w:type="paragraph" w:styleId="8">
    <w:name w:val="Balloon Text"/>
    <w:basedOn w:val="1"/>
    <w:link w:val="32"/>
    <w:autoRedefine/>
    <w:semiHidden/>
    <w:unhideWhenUsed/>
    <w:qFormat/>
    <w:uiPriority w:val="99"/>
    <w:rPr>
      <w:sz w:val="18"/>
      <w:szCs w:val="18"/>
    </w:rPr>
  </w:style>
  <w:style w:type="paragraph" w:styleId="9">
    <w:name w:val="footer"/>
    <w:basedOn w:val="1"/>
    <w:link w:val="20"/>
    <w:autoRedefine/>
    <w:unhideWhenUsed/>
    <w:qFormat/>
    <w:uiPriority w:val="0"/>
    <w:pPr>
      <w:tabs>
        <w:tab w:val="center" w:pos="4153"/>
        <w:tab w:val="right" w:pos="8306"/>
      </w:tabs>
      <w:snapToGrid w:val="0"/>
      <w:jc w:val="left"/>
    </w:pPr>
    <w:rPr>
      <w:sz w:val="18"/>
      <w:szCs w:val="18"/>
    </w:rPr>
  </w:style>
  <w:style w:type="paragraph" w:styleId="10">
    <w:name w:val="header"/>
    <w:basedOn w:val="1"/>
    <w:link w:val="1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99"/>
    <w:pPr>
      <w:widowControl/>
      <w:spacing w:before="49" w:after="49"/>
      <w:jc w:val="left"/>
    </w:pPr>
    <w:rPr>
      <w:rFonts w:ascii="宋体" w:hAnsi="宋体" w:eastAsia="宋体" w:cs="宋体"/>
      <w:kern w:val="0"/>
      <w:sz w:val="24"/>
      <w:szCs w:val="24"/>
    </w:rPr>
  </w:style>
  <w:style w:type="paragraph" w:styleId="12">
    <w:name w:val="Title"/>
    <w:basedOn w:val="1"/>
    <w:next w:val="1"/>
    <w:link w:val="27"/>
    <w:autoRedefine/>
    <w:qFormat/>
    <w:uiPriority w:val="0"/>
    <w:pPr>
      <w:spacing w:before="240" w:after="60"/>
      <w:jc w:val="center"/>
      <w:outlineLvl w:val="0"/>
    </w:pPr>
    <w:rPr>
      <w:rFonts w:ascii="Cambria" w:hAnsi="Cambria" w:eastAsia="方正小标宋简体" w:cs="Times New Roman"/>
      <w:b/>
      <w:bCs/>
      <w:sz w:val="44"/>
      <w:szCs w:val="32"/>
    </w:rPr>
  </w:style>
  <w:style w:type="table" w:styleId="14">
    <w:name w:val="Table Grid"/>
    <w:basedOn w:val="13"/>
    <w:autoRedefine/>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22"/>
    <w:rPr>
      <w:b/>
      <w:bCs/>
    </w:rPr>
  </w:style>
  <w:style w:type="character" w:styleId="17">
    <w:name w:val="page number"/>
    <w:basedOn w:val="15"/>
    <w:autoRedefine/>
    <w:qFormat/>
    <w:uiPriority w:val="0"/>
  </w:style>
  <w:style w:type="character" w:customStyle="1" w:styleId="18">
    <w:name w:val="标题 2 Char"/>
    <w:basedOn w:val="15"/>
    <w:link w:val="2"/>
    <w:qFormat/>
    <w:uiPriority w:val="9"/>
    <w:rPr>
      <w:rFonts w:ascii="宋体" w:hAnsi="宋体" w:eastAsia="宋体" w:cs="宋体"/>
      <w:b/>
      <w:bCs/>
      <w:kern w:val="0"/>
      <w:sz w:val="36"/>
      <w:szCs w:val="36"/>
    </w:rPr>
  </w:style>
  <w:style w:type="character" w:customStyle="1" w:styleId="19">
    <w:name w:val="页眉 Char"/>
    <w:basedOn w:val="15"/>
    <w:link w:val="10"/>
    <w:qFormat/>
    <w:uiPriority w:val="0"/>
    <w:rPr>
      <w:sz w:val="18"/>
      <w:szCs w:val="18"/>
    </w:rPr>
  </w:style>
  <w:style w:type="character" w:customStyle="1" w:styleId="20">
    <w:name w:val="页脚 Char"/>
    <w:basedOn w:val="15"/>
    <w:link w:val="9"/>
    <w:autoRedefine/>
    <w:qFormat/>
    <w:uiPriority w:val="0"/>
    <w:rPr>
      <w:sz w:val="18"/>
      <w:szCs w:val="18"/>
    </w:rPr>
  </w:style>
  <w:style w:type="character" w:customStyle="1" w:styleId="21">
    <w:name w:val="纯文本 Char"/>
    <w:basedOn w:val="15"/>
    <w:link w:val="6"/>
    <w:autoRedefine/>
    <w:qFormat/>
    <w:uiPriority w:val="0"/>
    <w:rPr>
      <w:rFonts w:ascii="宋体" w:hAnsi="Courier New" w:cs="Courier New"/>
      <w:szCs w:val="21"/>
    </w:rPr>
  </w:style>
  <w:style w:type="character" w:customStyle="1" w:styleId="22">
    <w:name w:val="日期 Char"/>
    <w:basedOn w:val="15"/>
    <w:link w:val="7"/>
    <w:qFormat/>
    <w:uiPriority w:val="0"/>
    <w:rPr>
      <w:rFonts w:ascii="宋体" w:hAnsi="Courier New" w:cs="Courier New"/>
      <w:szCs w:val="21"/>
    </w:rPr>
  </w:style>
  <w:style w:type="character" w:customStyle="1" w:styleId="23">
    <w:name w:val="日期 Char1"/>
    <w:basedOn w:val="15"/>
    <w:semiHidden/>
    <w:qFormat/>
    <w:uiPriority w:val="99"/>
  </w:style>
  <w:style w:type="character" w:customStyle="1" w:styleId="24">
    <w:name w:val="纯文本 Char1"/>
    <w:basedOn w:val="15"/>
    <w:autoRedefine/>
    <w:semiHidden/>
    <w:qFormat/>
    <w:uiPriority w:val="99"/>
    <w:rPr>
      <w:rFonts w:ascii="宋体" w:hAnsi="Courier New" w:eastAsia="宋体" w:cs="Courier New"/>
      <w:szCs w:val="21"/>
    </w:rPr>
  </w:style>
  <w:style w:type="character" w:customStyle="1" w:styleId="25">
    <w:name w:val="正文文本缩进 Char"/>
    <w:basedOn w:val="15"/>
    <w:link w:val="5"/>
    <w:autoRedefine/>
    <w:qFormat/>
    <w:uiPriority w:val="0"/>
    <w:rPr>
      <w:rFonts w:ascii="仿宋_GB2312" w:hAnsi="Times New Roman" w:eastAsia="仿宋_GB2312"/>
      <w:sz w:val="32"/>
    </w:rPr>
  </w:style>
  <w:style w:type="character" w:customStyle="1" w:styleId="26">
    <w:name w:val="正文文本 Char"/>
    <w:basedOn w:val="15"/>
    <w:link w:val="4"/>
    <w:qFormat/>
    <w:uiPriority w:val="0"/>
    <w:rPr>
      <w:rFonts w:ascii="Times New Roman" w:hAnsi="Times New Roman"/>
      <w:szCs w:val="24"/>
    </w:rPr>
  </w:style>
  <w:style w:type="character" w:customStyle="1" w:styleId="27">
    <w:name w:val="标题 Char1"/>
    <w:basedOn w:val="15"/>
    <w:link w:val="12"/>
    <w:qFormat/>
    <w:uiPriority w:val="0"/>
    <w:rPr>
      <w:rFonts w:ascii="Cambria" w:hAnsi="Cambria" w:eastAsia="方正小标宋简体" w:cs="Times New Roman"/>
      <w:b/>
      <w:bCs/>
      <w:sz w:val="44"/>
      <w:szCs w:val="32"/>
    </w:rPr>
  </w:style>
  <w:style w:type="character" w:customStyle="1" w:styleId="28">
    <w:name w:val="标题 Char"/>
    <w:basedOn w:val="15"/>
    <w:qFormat/>
    <w:uiPriority w:val="10"/>
    <w:rPr>
      <w:rFonts w:eastAsia="宋体" w:asciiTheme="majorHAnsi" w:hAnsiTheme="majorHAnsi" w:cstheme="majorBidi"/>
      <w:b/>
      <w:bCs/>
      <w:sz w:val="32"/>
      <w:szCs w:val="32"/>
    </w:rPr>
  </w:style>
  <w:style w:type="character" w:customStyle="1" w:styleId="29">
    <w:name w:val="正文文本缩进 Char1"/>
    <w:basedOn w:val="15"/>
    <w:semiHidden/>
    <w:qFormat/>
    <w:uiPriority w:val="99"/>
  </w:style>
  <w:style w:type="character" w:customStyle="1" w:styleId="30">
    <w:name w:val="正文文本 Char1"/>
    <w:basedOn w:val="15"/>
    <w:autoRedefine/>
    <w:semiHidden/>
    <w:qFormat/>
    <w:uiPriority w:val="99"/>
  </w:style>
  <w:style w:type="paragraph" w:customStyle="1" w:styleId="31">
    <w:name w:val="1 Char"/>
    <w:basedOn w:val="1"/>
    <w:semiHidden/>
    <w:qFormat/>
    <w:uiPriority w:val="0"/>
    <w:rPr>
      <w:rFonts w:ascii="Times New Roman" w:hAnsi="Times New Roman" w:eastAsia="宋体" w:cs="Times New Roman"/>
      <w:szCs w:val="24"/>
    </w:rPr>
  </w:style>
  <w:style w:type="character" w:customStyle="1" w:styleId="32">
    <w:name w:val="批注框文本 Char"/>
    <w:basedOn w:val="15"/>
    <w:link w:val="8"/>
    <w:semiHidden/>
    <w:qFormat/>
    <w:uiPriority w:val="99"/>
    <w:rPr>
      <w:kern w:val="2"/>
      <w:sz w:val="18"/>
      <w:szCs w:val="18"/>
    </w:rPr>
  </w:style>
  <w:style w:type="paragraph" w:customStyle="1" w:styleId="33">
    <w:name w:val="新正文"/>
    <w:basedOn w:val="1"/>
    <w:next w:val="1"/>
    <w:autoRedefine/>
    <w:qFormat/>
    <w:uiPriority w:val="0"/>
    <w:pPr>
      <w:adjustRightInd w:val="0"/>
      <w:snapToGrid w:val="0"/>
      <w:spacing w:line="440" w:lineRule="atLeast"/>
    </w:pPr>
    <w:rPr>
      <w:rFonts w:ascii="宋体" w:hAnsi="宋体"/>
      <w:snapToGrid w:val="0"/>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5</Pages>
  <Words>468</Words>
  <Characters>2671</Characters>
  <Lines>22</Lines>
  <Paragraphs>6</Paragraphs>
  <TotalTime>0</TotalTime>
  <ScaleCrop>false</ScaleCrop>
  <LinksUpToDate>false</LinksUpToDate>
  <CharactersWithSpaces>3133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郝江杬</cp:lastModifiedBy>
  <dcterms:modified xsi:type="dcterms:W3CDTF">2024-10-12T07:58:30Z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4C9C173535A646DF971B7B056FA908F5_12</vt:lpwstr>
  </property>
</Properties>
</file>