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42" w:rightChars="20"/>
        <w:jc w:val="left"/>
        <w:rPr>
          <w:rFonts w:hint="eastAsia" w:ascii="宋体" w:hAnsi="宋体" w:eastAsia="宋体" w:cs="宋体"/>
          <w:b/>
          <w:color w:val="000000" w:themeColor="text1"/>
          <w:sz w:val="36"/>
          <w:szCs w:val="36"/>
          <w:highlight w:val="none"/>
          <w:lang w:val="en-US" w:eastAsia="zh-CN"/>
          <w14:textFill>
            <w14:solidFill>
              <w14:schemeClr w14:val="tx1"/>
            </w14:solidFill>
          </w14:textFill>
        </w:rPr>
      </w:pPr>
      <w:bookmarkStart w:id="0" w:name="_Toc467768580"/>
      <w:bookmarkStart w:id="1" w:name="_Toc30900"/>
      <w:r>
        <w:rPr>
          <w:rFonts w:hint="eastAsia" w:ascii="宋体" w:hAnsi="宋体" w:eastAsia="宋体" w:cs="宋体"/>
          <w:b/>
          <w:color w:val="000000" w:themeColor="text1"/>
          <w:sz w:val="36"/>
          <w:szCs w:val="36"/>
          <w:highlight w:val="none"/>
          <w:lang w:val="en-US" w:eastAsia="zh-CN"/>
          <w14:textFill>
            <w14:solidFill>
              <w14:schemeClr w14:val="tx1"/>
            </w14:solidFill>
          </w14:textFill>
        </w:rPr>
        <w:t>附件：</w:t>
      </w:r>
    </w:p>
    <w:p>
      <w:pPr>
        <w:widowControl/>
        <w:ind w:right="42" w:rightChars="20"/>
        <w:jc w:val="left"/>
        <w:rPr>
          <w:rFonts w:ascii="宋体" w:hAnsi="宋体" w:eastAsia="宋体" w:cs="宋体"/>
          <w:b/>
          <w:color w:val="000000" w:themeColor="text1"/>
          <w:sz w:val="36"/>
          <w:szCs w:val="36"/>
          <w:highlight w:val="none"/>
          <w14:textFill>
            <w14:solidFill>
              <w14:schemeClr w14:val="tx1"/>
            </w14:solidFill>
          </w14:textFill>
        </w:rPr>
      </w:pPr>
    </w:p>
    <w:bookmarkEnd w:id="0"/>
    <w:bookmarkEnd w:id="1"/>
    <w:p>
      <w:pPr>
        <w:pStyle w:val="51"/>
        <w:numPr>
          <w:numId w:val="0"/>
        </w:numPr>
        <w:spacing w:before="0" w:after="0"/>
        <w:ind w:right="42" w:rightChars="20" w:firstLine="2530" w:firstLineChars="900"/>
        <w:jc w:val="both"/>
        <w:rPr>
          <w:rFonts w:ascii="宋体" w:hAnsi="宋体" w:eastAsia="宋体" w:cs="宋体"/>
          <w:b/>
          <w:bCs w:val="0"/>
          <w:color w:val="000000" w:themeColor="text1"/>
          <w:kern w:val="0"/>
          <w:sz w:val="28"/>
          <w:szCs w:val="28"/>
          <w:highlight w:val="none"/>
          <w14:textFill>
            <w14:solidFill>
              <w14:schemeClr w14:val="tx1"/>
            </w14:solidFill>
          </w14:textFill>
        </w:rPr>
      </w:pPr>
      <w:bookmarkStart w:id="2" w:name="_Toc32027"/>
      <w:bookmarkStart w:id="3" w:name="_Toc122"/>
      <w:r>
        <w:rPr>
          <w:rFonts w:hint="eastAsia" w:ascii="宋体" w:hAnsi="宋体" w:eastAsia="宋体" w:cs="宋体"/>
          <w:b/>
          <w:bCs w:val="0"/>
          <w:color w:val="000000" w:themeColor="text1"/>
          <w:kern w:val="0"/>
          <w:sz w:val="28"/>
          <w:szCs w:val="28"/>
          <w:highlight w:val="none"/>
          <w14:textFill>
            <w14:solidFill>
              <w14:schemeClr w14:val="tx1"/>
            </w14:solidFill>
          </w14:textFill>
        </w:rPr>
        <w:t>采购内容及技术要求</w:t>
      </w:r>
      <w:bookmarkEnd w:id="2"/>
      <w:bookmarkEnd w:id="3"/>
    </w:p>
    <w:p>
      <w:pPr>
        <w:pStyle w:val="2"/>
        <w:numPr>
          <w:ilvl w:val="0"/>
          <w:numId w:val="0"/>
        </w:numPr>
        <w:adjustRightInd w:val="0"/>
        <w:snapToGrid w:val="0"/>
        <w:spacing w:before="0" w:after="0" w:line="360" w:lineRule="auto"/>
        <w:jc w:val="both"/>
        <w:rPr>
          <w:rFonts w:hint="default"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一、采购内容</w:t>
      </w:r>
    </w:p>
    <w:p>
      <w:pPr>
        <w:adjustRightInd w:val="0"/>
        <w:snapToGrid w:val="0"/>
        <w:spacing w:line="360" w:lineRule="auto"/>
        <w:ind w:firstLine="560"/>
        <w:rPr>
          <w:rFonts w:ascii="黑体" w:hAnsi="黑体" w:eastAsia="黑体" w:cs="黑体"/>
          <w:color w:val="000000" w:themeColor="text1"/>
          <w:szCs w:val="22"/>
          <w:highlight w:val="none"/>
          <w14:textFill>
            <w14:solidFill>
              <w14:schemeClr w14:val="tx1"/>
            </w14:solidFill>
          </w14:textFill>
        </w:rPr>
      </w:pPr>
      <w:r>
        <w:rPr>
          <w:rFonts w:hint="eastAsia" w:ascii="黑体" w:hAnsi="黑体" w:eastAsia="黑体" w:cs="黑体"/>
          <w:color w:val="000000" w:themeColor="text1"/>
          <w:szCs w:val="22"/>
          <w:highlight w:val="none"/>
          <w:lang w:val="en-US" w:eastAsia="zh-CN"/>
          <w14:textFill>
            <w14:solidFill>
              <w14:schemeClr w14:val="tx1"/>
            </w14:solidFill>
          </w14:textFill>
        </w:rPr>
        <w:t>1.</w:t>
      </w:r>
      <w:r>
        <w:rPr>
          <w:rFonts w:hint="eastAsia" w:ascii="黑体" w:hAnsi="黑体" w:eastAsia="黑体" w:cs="黑体"/>
          <w:color w:val="000000" w:themeColor="text1"/>
          <w:szCs w:val="22"/>
          <w:highlight w:val="none"/>
          <w14:textFill>
            <w14:solidFill>
              <w14:schemeClr w14:val="tx1"/>
            </w14:solidFill>
          </w14:textFill>
        </w:rPr>
        <w:t>服务范围</w:t>
      </w:r>
    </w:p>
    <w:p>
      <w:pPr>
        <w:spacing w:line="560" w:lineRule="exact"/>
        <w:ind w:firstLine="210" w:firstLineChars="100"/>
        <w:jc w:val="both"/>
        <w:rPr>
          <w:rFonts w:hint="eastAsia" w:ascii="宋体" w:hAnsi="宋体" w:eastAsia="宋体" w:cs="黑体"/>
          <w:color w:val="000000" w:themeColor="text1"/>
          <w:highlight w:val="none"/>
          <w:lang w:val="en-US" w:eastAsia="zh-CN"/>
          <w14:textFill>
            <w14:solidFill>
              <w14:schemeClr w14:val="tx1"/>
            </w14:solidFill>
          </w14:textFill>
        </w:rPr>
      </w:pPr>
      <w:bookmarkStart w:id="4" w:name="_Toc18243_WPSOffice_Level2"/>
      <w:bookmarkStart w:id="5" w:name="_Toc29616"/>
      <w:bookmarkStart w:id="6" w:name="_Toc10916"/>
      <w:bookmarkStart w:id="7" w:name="_Toc11666"/>
      <w:bookmarkStart w:id="8" w:name="_Toc17376"/>
      <w:bookmarkStart w:id="9" w:name="_Toc8590"/>
      <w:bookmarkStart w:id="10" w:name="_Toc3573"/>
      <w:bookmarkStart w:id="11" w:name="_Toc25498_WPSOffice_Level2"/>
      <w:bookmarkStart w:id="12" w:name="_Toc12135_WPSOffice_Level2"/>
      <w:bookmarkStart w:id="13" w:name="_Toc30277"/>
      <w:bookmarkStart w:id="14" w:name="_Toc29798"/>
      <w:r>
        <w:rPr>
          <w:rFonts w:hint="eastAsia" w:ascii="宋体" w:hAnsi="宋体" w:eastAsia="宋体" w:cs="黑体"/>
          <w:color w:val="000000" w:themeColor="text1"/>
          <w:highlight w:val="none"/>
          <w14:textFill>
            <w14:solidFill>
              <w14:schemeClr w14:val="tx1"/>
            </w14:solidFill>
          </w14:textFill>
        </w:rPr>
        <w:t>本采购项目主要服务范围包括：</w:t>
      </w:r>
      <w:r>
        <w:rPr>
          <w:rFonts w:hint="eastAsia" w:ascii="宋体" w:hAnsi="宋体" w:eastAsia="宋体" w:cs="宋体"/>
          <w:color w:val="333333"/>
          <w:kern w:val="0"/>
          <w:szCs w:val="21"/>
          <w:lang w:val="en-US" w:eastAsia="zh-CN"/>
        </w:rPr>
        <w:t>内蒙古智慧运维新能源有限</w:t>
      </w:r>
      <w:r>
        <w:rPr>
          <w:rFonts w:hint="eastAsia" w:ascii="宋体" w:hAnsi="宋体" w:eastAsia="宋体" w:cs="宋体"/>
          <w:color w:val="auto"/>
          <w:kern w:val="0"/>
          <w:szCs w:val="21"/>
          <w:lang w:val="en-US" w:eastAsia="zh-CN"/>
        </w:rPr>
        <w:t>公司</w:t>
      </w:r>
      <w:r>
        <w:rPr>
          <w:rFonts w:hint="eastAsia"/>
          <w:color w:val="auto"/>
          <w:highlight w:val="none"/>
          <w:lang w:val="en-US" w:eastAsia="zh-CN"/>
        </w:rPr>
        <w:t>110kV远景动力变电站劳务服务</w:t>
      </w:r>
      <w:r>
        <w:rPr>
          <w:rFonts w:hint="eastAsia" w:ascii="宋体" w:hAnsi="宋体" w:eastAsia="宋体" w:cs="黑体"/>
          <w:color w:val="000000" w:themeColor="text1"/>
          <w:highlight w:val="none"/>
          <w:lang w:val="en-US" w:eastAsia="zh-CN"/>
          <w14:textFill>
            <w14:solidFill>
              <w14:schemeClr w14:val="tx1"/>
            </w14:solidFill>
          </w14:textFill>
        </w:rPr>
        <w:t>。</w:t>
      </w:r>
    </w:p>
    <w:p>
      <w:pPr>
        <w:adjustRightInd w:val="0"/>
        <w:snapToGrid w:val="0"/>
        <w:spacing w:line="360" w:lineRule="auto"/>
        <w:ind w:firstLine="560"/>
        <w:rPr>
          <w:rFonts w:hint="eastAsia" w:ascii="黑体" w:hAnsi="黑体" w:eastAsia="黑体" w:cs="黑体"/>
          <w:color w:val="000000" w:themeColor="text1"/>
          <w:szCs w:val="22"/>
          <w:highlight w:val="none"/>
          <w14:textFill>
            <w14:solidFill>
              <w14:schemeClr w14:val="tx1"/>
            </w14:solidFill>
          </w14:textFill>
        </w:rPr>
      </w:pPr>
      <w:r>
        <w:rPr>
          <w:rFonts w:hint="eastAsia" w:ascii="黑体" w:hAnsi="黑体" w:eastAsia="黑体" w:cs="黑体"/>
          <w:color w:val="000000" w:themeColor="text1"/>
          <w:szCs w:val="22"/>
          <w:highlight w:val="none"/>
          <w14:textFill>
            <w14:solidFill>
              <w14:schemeClr w14:val="tx1"/>
            </w14:solidFill>
          </w14:textFill>
        </w:rPr>
        <w:t>2</w:t>
      </w:r>
      <w:r>
        <w:rPr>
          <w:rFonts w:hint="eastAsia" w:ascii="黑体" w:hAnsi="黑体" w:eastAsia="黑体" w:cs="黑体"/>
          <w:color w:val="000000" w:themeColor="text1"/>
          <w:szCs w:val="22"/>
          <w:highlight w:val="none"/>
          <w:lang w:val="en-US" w:eastAsia="zh-CN"/>
          <w14:textFill>
            <w14:solidFill>
              <w14:schemeClr w14:val="tx1"/>
            </w14:solidFill>
          </w14:textFill>
        </w:rPr>
        <w:t>.</w:t>
      </w:r>
      <w:r>
        <w:rPr>
          <w:rFonts w:hint="eastAsia" w:ascii="黑体" w:hAnsi="黑体" w:eastAsia="黑体" w:cs="黑体"/>
          <w:color w:val="000000" w:themeColor="text1"/>
          <w:szCs w:val="22"/>
          <w:highlight w:val="none"/>
          <w14:textFill>
            <w14:solidFill>
              <w14:schemeClr w14:val="tx1"/>
            </w14:solidFill>
          </w14:textFill>
        </w:rPr>
        <w:t>服务期限</w:t>
      </w:r>
      <w:bookmarkEnd w:id="4"/>
      <w:bookmarkEnd w:id="5"/>
      <w:bookmarkEnd w:id="6"/>
      <w:bookmarkEnd w:id="7"/>
      <w:bookmarkEnd w:id="8"/>
      <w:bookmarkEnd w:id="9"/>
      <w:bookmarkEnd w:id="10"/>
      <w:bookmarkEnd w:id="11"/>
      <w:bookmarkEnd w:id="12"/>
      <w:bookmarkEnd w:id="13"/>
      <w:bookmarkEnd w:id="14"/>
    </w:p>
    <w:p>
      <w:pPr>
        <w:adjustRightInd w:val="0"/>
        <w:snapToGrid w:val="0"/>
        <w:spacing w:line="360" w:lineRule="auto"/>
        <w:ind w:firstLine="560"/>
        <w:rPr>
          <w:rFonts w:hint="eastAsia" w:ascii="宋体" w:hAnsi="宋体" w:eastAsia="宋体" w:cs="宋体"/>
          <w:color w:val="000000" w:themeColor="text1"/>
          <w:szCs w:val="22"/>
          <w:highlight w:val="none"/>
          <w14:textFill>
            <w14:solidFill>
              <w14:schemeClr w14:val="tx1"/>
            </w14:solidFill>
          </w14:textFill>
        </w:rPr>
      </w:pPr>
      <w:bookmarkStart w:id="15" w:name="_Toc12395"/>
      <w:bookmarkStart w:id="16" w:name="_Toc25235_WPSOffice_Level2"/>
      <w:bookmarkStart w:id="17" w:name="_Toc7185"/>
      <w:bookmarkStart w:id="18" w:name="_Toc14883"/>
      <w:bookmarkStart w:id="19" w:name="_Toc1631_WPSOffice_Level2"/>
      <w:bookmarkStart w:id="20" w:name="_Toc12525"/>
      <w:bookmarkStart w:id="21" w:name="_Toc32095"/>
      <w:bookmarkStart w:id="22" w:name="_Toc20248"/>
      <w:bookmarkStart w:id="23" w:name="_Toc20961"/>
      <w:bookmarkStart w:id="24" w:name="_Toc22070"/>
      <w:bookmarkStart w:id="25" w:name="_Toc1272_WPSOffice_Level2"/>
      <w:r>
        <w:rPr>
          <w:rFonts w:hint="eastAsia" w:ascii="宋体" w:hAnsi="宋体" w:eastAsia="宋体" w:cs="宋体"/>
          <w:color w:val="000000" w:themeColor="text1"/>
          <w:szCs w:val="22"/>
          <w:highlight w:val="none"/>
          <w14:textFill>
            <w14:solidFill>
              <w14:schemeClr w14:val="tx1"/>
            </w14:solidFill>
          </w14:textFill>
        </w:rPr>
        <w:t>从合同签订之日起</w:t>
      </w:r>
      <w:r>
        <w:rPr>
          <w:rFonts w:hint="eastAsia" w:ascii="宋体" w:hAnsi="宋体" w:eastAsia="宋体" w:cs="宋体"/>
          <w:color w:val="000000" w:themeColor="text1"/>
          <w:szCs w:val="22"/>
          <w:highlight w:val="none"/>
          <w:lang w:val="en-US" w:eastAsia="zh-CN"/>
          <w14:textFill>
            <w14:solidFill>
              <w14:schemeClr w14:val="tx1"/>
            </w14:solidFill>
          </w14:textFill>
        </w:rPr>
        <w:t>1年</w:t>
      </w:r>
      <w:r>
        <w:rPr>
          <w:rFonts w:hint="eastAsia" w:ascii="宋体" w:hAnsi="宋体" w:eastAsia="宋体" w:cs="宋体"/>
          <w:color w:val="000000" w:themeColor="text1"/>
          <w:szCs w:val="22"/>
          <w:highlight w:val="none"/>
          <w14:textFill>
            <w14:solidFill>
              <w14:schemeClr w14:val="tx1"/>
            </w14:solidFill>
          </w14:textFill>
        </w:rPr>
        <w:t>。</w:t>
      </w:r>
    </w:p>
    <w:p>
      <w:pPr>
        <w:adjustRightInd w:val="0"/>
        <w:snapToGrid w:val="0"/>
        <w:spacing w:line="360" w:lineRule="auto"/>
        <w:ind w:firstLine="560"/>
        <w:rPr>
          <w:rFonts w:hint="eastAsia" w:ascii="黑体" w:hAnsi="黑体" w:eastAsia="黑体" w:cs="黑体"/>
          <w:color w:val="000000" w:themeColor="text1"/>
          <w:szCs w:val="22"/>
          <w:highlight w:val="none"/>
          <w14:textFill>
            <w14:solidFill>
              <w14:schemeClr w14:val="tx1"/>
            </w14:solidFill>
          </w14:textFill>
        </w:rPr>
      </w:pPr>
      <w:r>
        <w:rPr>
          <w:rFonts w:hint="eastAsia" w:ascii="黑体" w:hAnsi="黑体" w:eastAsia="黑体" w:cs="黑体"/>
          <w:color w:val="000000" w:themeColor="text1"/>
          <w:szCs w:val="22"/>
          <w:highlight w:val="none"/>
          <w14:textFill>
            <w14:solidFill>
              <w14:schemeClr w14:val="tx1"/>
            </w14:solidFill>
          </w14:textFill>
        </w:rPr>
        <w:t>3</w:t>
      </w:r>
      <w:r>
        <w:rPr>
          <w:rFonts w:hint="eastAsia" w:ascii="黑体" w:hAnsi="黑体" w:eastAsia="黑体" w:cs="黑体"/>
          <w:color w:val="000000" w:themeColor="text1"/>
          <w:szCs w:val="22"/>
          <w:highlight w:val="none"/>
          <w:lang w:val="en-US" w:eastAsia="zh-CN"/>
          <w14:textFill>
            <w14:solidFill>
              <w14:schemeClr w14:val="tx1"/>
            </w14:solidFill>
          </w14:textFill>
        </w:rPr>
        <w:t>.</w:t>
      </w:r>
      <w:r>
        <w:rPr>
          <w:rFonts w:hint="eastAsia" w:ascii="黑体" w:hAnsi="黑体" w:eastAsia="黑体" w:cs="黑体"/>
          <w:color w:val="000000" w:themeColor="text1"/>
          <w:szCs w:val="22"/>
          <w:highlight w:val="none"/>
          <w14:textFill>
            <w14:solidFill>
              <w14:schemeClr w14:val="tx1"/>
            </w14:solidFill>
          </w14:textFill>
        </w:rPr>
        <w:t>服务地点</w:t>
      </w:r>
      <w:bookmarkEnd w:id="15"/>
      <w:bookmarkEnd w:id="16"/>
      <w:bookmarkEnd w:id="17"/>
      <w:bookmarkEnd w:id="18"/>
      <w:bookmarkEnd w:id="19"/>
      <w:bookmarkEnd w:id="20"/>
      <w:bookmarkEnd w:id="21"/>
      <w:bookmarkEnd w:id="22"/>
      <w:bookmarkEnd w:id="23"/>
      <w:bookmarkEnd w:id="24"/>
      <w:bookmarkEnd w:id="25"/>
    </w:p>
    <w:p>
      <w:pPr>
        <w:adjustRightInd w:val="0"/>
        <w:snapToGrid w:val="0"/>
        <w:spacing w:line="360" w:lineRule="auto"/>
        <w:ind w:firstLine="560"/>
        <w:rPr>
          <w:rFonts w:hint="eastAsia" w:ascii="宋体" w:hAnsi="宋体" w:eastAsia="宋体" w:cs="黑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本项目服务地点为</w:t>
      </w:r>
      <w:bookmarkStart w:id="26" w:name="_Toc18478"/>
      <w:bookmarkStart w:id="27" w:name="_Toc12357"/>
      <w:bookmarkStart w:id="28" w:name="_Toc17937"/>
      <w:bookmarkStart w:id="29" w:name="_Toc22994_WPSOffice_Level2"/>
      <w:bookmarkStart w:id="30" w:name="_Toc4899"/>
      <w:bookmarkStart w:id="31" w:name="_Toc15835_WPSOffice_Level2"/>
      <w:bookmarkStart w:id="32" w:name="_Toc4613"/>
      <w:bookmarkStart w:id="33" w:name="_Toc31343"/>
      <w:bookmarkStart w:id="34" w:name="_Toc23690"/>
      <w:bookmarkStart w:id="35" w:name="_Toc5567_WPSOffice_Level2"/>
      <w:bookmarkStart w:id="36" w:name="_Toc4211"/>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鄂尔多斯市伊金霍洛旗110kv远景动力变电站</w:t>
      </w:r>
      <w:r>
        <w:rPr>
          <w:rFonts w:hint="eastAsia" w:ascii="宋体" w:hAnsi="宋体" w:eastAsia="宋体" w:cs="黑体"/>
          <w:color w:val="000000" w:themeColor="text1"/>
          <w:highlight w:val="none"/>
          <w:lang w:val="en-US" w:eastAsia="zh-CN"/>
          <w14:textFill>
            <w14:solidFill>
              <w14:schemeClr w14:val="tx1"/>
            </w14:solidFill>
          </w14:textFill>
        </w:rPr>
        <w:t>。</w:t>
      </w:r>
    </w:p>
    <w:p>
      <w:pPr>
        <w:adjustRightInd w:val="0"/>
        <w:snapToGrid w:val="0"/>
        <w:spacing w:line="360" w:lineRule="auto"/>
        <w:ind w:firstLine="560"/>
        <w:rPr>
          <w:rFonts w:hint="eastAsia" w:ascii="黑体" w:hAnsi="黑体" w:eastAsia="黑体" w:cs="黑体"/>
          <w:color w:val="000000" w:themeColor="text1"/>
          <w:szCs w:val="22"/>
          <w:highlight w:val="none"/>
          <w14:textFill>
            <w14:solidFill>
              <w14:schemeClr w14:val="tx1"/>
            </w14:solidFill>
          </w14:textFill>
        </w:rPr>
      </w:pPr>
      <w:r>
        <w:rPr>
          <w:rFonts w:hint="eastAsia" w:ascii="黑体" w:hAnsi="黑体" w:eastAsia="黑体" w:cs="黑体"/>
          <w:color w:val="000000" w:themeColor="text1"/>
          <w:szCs w:val="22"/>
          <w:highlight w:val="none"/>
          <w14:textFill>
            <w14:solidFill>
              <w14:schemeClr w14:val="tx1"/>
            </w14:solidFill>
          </w14:textFill>
        </w:rPr>
        <w:t>4</w:t>
      </w:r>
      <w:r>
        <w:rPr>
          <w:rFonts w:hint="eastAsia" w:ascii="黑体" w:hAnsi="黑体" w:eastAsia="黑体" w:cs="黑体"/>
          <w:color w:val="000000" w:themeColor="text1"/>
          <w:szCs w:val="22"/>
          <w:highlight w:val="none"/>
          <w:lang w:val="en-US" w:eastAsia="zh-CN"/>
          <w14:textFill>
            <w14:solidFill>
              <w14:schemeClr w14:val="tx1"/>
            </w14:solidFill>
          </w14:textFill>
        </w:rPr>
        <w:t>.</w:t>
      </w:r>
      <w:r>
        <w:rPr>
          <w:rFonts w:hint="eastAsia" w:ascii="黑体" w:hAnsi="黑体" w:eastAsia="黑体" w:cs="黑体"/>
          <w:color w:val="000000" w:themeColor="text1"/>
          <w:szCs w:val="22"/>
          <w:highlight w:val="none"/>
          <w14:textFill>
            <w14:solidFill>
              <w14:schemeClr w14:val="tx1"/>
            </w14:solidFill>
          </w14:textFill>
        </w:rPr>
        <w:t>采购人提供的条件</w:t>
      </w:r>
      <w:bookmarkEnd w:id="26"/>
      <w:bookmarkEnd w:id="27"/>
      <w:bookmarkEnd w:id="28"/>
      <w:bookmarkEnd w:id="29"/>
      <w:bookmarkEnd w:id="30"/>
      <w:bookmarkEnd w:id="31"/>
      <w:bookmarkEnd w:id="32"/>
      <w:bookmarkEnd w:id="33"/>
      <w:bookmarkEnd w:id="34"/>
      <w:bookmarkEnd w:id="35"/>
      <w:bookmarkEnd w:id="36"/>
    </w:p>
    <w:p>
      <w:pPr>
        <w:adjustRightInd w:val="0"/>
        <w:snapToGrid w:val="0"/>
        <w:spacing w:line="360" w:lineRule="auto"/>
        <w:ind w:firstLine="56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4.1通用部分</w:t>
      </w:r>
    </w:p>
    <w:p>
      <w:pPr>
        <w:adjustRightInd w:val="0"/>
        <w:snapToGrid w:val="0"/>
        <w:spacing w:line="360" w:lineRule="auto"/>
        <w:ind w:firstLine="56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lang w:val="en-US" w:eastAsia="zh-CN"/>
          <w14:textFill>
            <w14:solidFill>
              <w14:schemeClr w14:val="tx1"/>
            </w14:solidFill>
          </w14:textFill>
        </w:rPr>
        <w:t>（1）</w:t>
      </w:r>
      <w:r>
        <w:rPr>
          <w:rFonts w:hint="eastAsia" w:ascii="宋体" w:hAnsi="宋体" w:eastAsia="宋体" w:cs="宋体"/>
          <w:color w:val="000000" w:themeColor="text1"/>
          <w:szCs w:val="22"/>
          <w:highlight w:val="none"/>
          <w14:textFill>
            <w14:solidFill>
              <w14:schemeClr w14:val="tx1"/>
            </w14:solidFill>
          </w14:textFill>
        </w:rPr>
        <w:t>本项目服务相关的文件、资料。</w:t>
      </w:r>
    </w:p>
    <w:p>
      <w:pPr>
        <w:adjustRightInd w:val="0"/>
        <w:snapToGrid w:val="0"/>
        <w:spacing w:line="360" w:lineRule="auto"/>
        <w:ind w:firstLine="56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lang w:val="en-US" w:eastAsia="zh-CN"/>
          <w14:textFill>
            <w14:solidFill>
              <w14:schemeClr w14:val="tx1"/>
            </w14:solidFill>
          </w14:textFill>
        </w:rPr>
        <w:t>（2）</w:t>
      </w:r>
      <w:r>
        <w:rPr>
          <w:rFonts w:hint="eastAsia" w:ascii="宋体" w:hAnsi="宋体" w:eastAsia="宋体" w:cs="宋体"/>
          <w:color w:val="000000" w:themeColor="text1"/>
          <w:szCs w:val="22"/>
          <w:highlight w:val="none"/>
          <w14:textFill>
            <w14:solidFill>
              <w14:schemeClr w14:val="tx1"/>
            </w14:solidFill>
          </w14:textFill>
        </w:rPr>
        <w:t>采购人提供配合的</w:t>
      </w:r>
      <w:r>
        <w:rPr>
          <w:rFonts w:hint="eastAsia" w:ascii="宋体" w:hAnsi="宋体" w:eastAsia="宋体" w:cs="宋体"/>
          <w:color w:val="000000" w:themeColor="text1"/>
          <w:szCs w:val="22"/>
          <w:highlight w:val="none"/>
          <w:lang w:val="en-US" w:eastAsia="zh-CN"/>
          <w14:textFill>
            <w14:solidFill>
              <w14:schemeClr w14:val="tx1"/>
            </w14:solidFill>
          </w14:textFill>
        </w:rPr>
        <w:t>工作</w:t>
      </w:r>
      <w:r>
        <w:rPr>
          <w:rFonts w:hint="eastAsia" w:ascii="宋体" w:hAnsi="宋体" w:eastAsia="宋体" w:cs="宋体"/>
          <w:color w:val="000000" w:themeColor="text1"/>
          <w:szCs w:val="22"/>
          <w:highlight w:val="none"/>
          <w14:textFill>
            <w14:solidFill>
              <w14:schemeClr w14:val="tx1"/>
            </w14:solidFill>
          </w14:textFill>
        </w:rPr>
        <w:t>人员。</w:t>
      </w:r>
    </w:p>
    <w:p>
      <w:pPr>
        <w:adjustRightInd w:val="0"/>
        <w:snapToGrid w:val="0"/>
        <w:spacing w:line="360" w:lineRule="auto"/>
        <w:ind w:firstLine="560"/>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4.2</w:t>
      </w:r>
      <w:r>
        <w:rPr>
          <w:rFonts w:hint="eastAsia" w:ascii="黑体" w:hAnsi="黑体" w:eastAsia="黑体" w:cs="黑体"/>
          <w:color w:val="000000" w:themeColor="text1"/>
          <w:szCs w:val="22"/>
          <w:highlight w:val="none"/>
          <w14:textFill>
            <w14:solidFill>
              <w14:schemeClr w14:val="tx1"/>
            </w14:solidFill>
          </w14:textFill>
        </w:rPr>
        <w:t>专用部分</w:t>
      </w:r>
    </w:p>
    <w:p>
      <w:pPr>
        <w:spacing w:line="276" w:lineRule="auto"/>
        <w:rPr>
          <w:rFonts w:ascii="宋体" w:hAnsi="宋体" w:cs="Arial"/>
          <w:color w:val="000000" w:themeColor="text1"/>
          <w:szCs w:val="21"/>
          <w:highlight w:val="none"/>
          <w14:textFill>
            <w14:solidFill>
              <w14:schemeClr w14:val="tx1"/>
            </w14:solidFill>
          </w14:textFill>
        </w:rPr>
      </w:pPr>
      <w:bookmarkStart w:id="37" w:name="_Toc467768583"/>
      <w:bookmarkStart w:id="38" w:name="_Toc4030"/>
      <w:bookmarkStart w:id="39" w:name="_Toc226196593"/>
      <w:r>
        <w:rPr>
          <w:rFonts w:hint="eastAsia" w:ascii="宋体" w:hAnsi="宋体" w:cs="Arial"/>
          <w:color w:val="000000" w:themeColor="text1"/>
          <w:szCs w:val="21"/>
          <w:highlight w:val="none"/>
          <w:lang w:val="en-US" w:eastAsia="zh-CN"/>
          <w14:textFill>
            <w14:solidFill>
              <w14:schemeClr w14:val="tx1"/>
            </w14:solidFill>
          </w14:textFill>
        </w:rPr>
        <w:t>4.2.</w:t>
      </w:r>
      <w:r>
        <w:rPr>
          <w:rFonts w:hint="eastAsia"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lang w:eastAsia="zh-CN"/>
          <w14:textFill>
            <w14:solidFill>
              <w14:schemeClr w14:val="tx1"/>
            </w14:solidFill>
          </w14:textFill>
        </w:rPr>
        <w:t>招标方</w:t>
      </w:r>
      <w:r>
        <w:rPr>
          <w:rFonts w:hint="eastAsia" w:ascii="宋体" w:hAnsi="宋体" w:cs="Arial"/>
          <w:color w:val="000000" w:themeColor="text1"/>
          <w:szCs w:val="21"/>
          <w:highlight w:val="none"/>
          <w14:textFill>
            <w14:solidFill>
              <w14:schemeClr w14:val="tx1"/>
            </w14:solidFill>
          </w14:textFill>
        </w:rPr>
        <w:t>向</w:t>
      </w:r>
      <w:r>
        <w:rPr>
          <w:rFonts w:hint="eastAsia" w:ascii="宋体" w:hAnsi="宋体" w:cs="Arial"/>
          <w:color w:val="000000" w:themeColor="text1"/>
          <w:szCs w:val="21"/>
          <w:highlight w:val="none"/>
          <w:lang w:eastAsia="zh-CN"/>
          <w14:textFill>
            <w14:solidFill>
              <w14:schemeClr w14:val="tx1"/>
            </w14:solidFill>
          </w14:textFill>
        </w:rPr>
        <w:t>采购方</w:t>
      </w:r>
      <w:r>
        <w:rPr>
          <w:rFonts w:hint="eastAsia" w:ascii="宋体" w:hAnsi="宋体" w:cs="Arial"/>
          <w:color w:val="000000" w:themeColor="text1"/>
          <w:szCs w:val="21"/>
          <w:highlight w:val="none"/>
          <w14:textFill>
            <w14:solidFill>
              <w14:schemeClr w14:val="tx1"/>
            </w14:solidFill>
          </w14:textFill>
        </w:rPr>
        <w:t>按约定的标准支付服务费，</w:t>
      </w:r>
      <w:r>
        <w:rPr>
          <w:rFonts w:hint="eastAsia" w:ascii="宋体" w:hAnsi="宋体" w:cs="Arial"/>
          <w:color w:val="000000" w:themeColor="text1"/>
          <w:szCs w:val="21"/>
          <w:highlight w:val="none"/>
          <w:lang w:eastAsia="zh-CN"/>
          <w14:textFill>
            <w14:solidFill>
              <w14:schemeClr w14:val="tx1"/>
            </w14:solidFill>
          </w14:textFill>
        </w:rPr>
        <w:t>采购方</w:t>
      </w:r>
      <w:r>
        <w:rPr>
          <w:rFonts w:hint="eastAsia" w:ascii="宋体" w:hAnsi="宋体" w:cs="Arial"/>
          <w:color w:val="000000" w:themeColor="text1"/>
          <w:szCs w:val="21"/>
          <w:highlight w:val="none"/>
          <w14:textFill>
            <w14:solidFill>
              <w14:schemeClr w14:val="tx1"/>
            </w14:solidFill>
          </w14:textFill>
        </w:rPr>
        <w:t>按本协议约定的服务内容和标准提供服务，</w:t>
      </w:r>
      <w:r>
        <w:rPr>
          <w:rFonts w:hint="eastAsia" w:ascii="宋体" w:hAnsi="宋体" w:cs="Arial"/>
          <w:color w:val="000000" w:themeColor="text1"/>
          <w:szCs w:val="21"/>
          <w:highlight w:val="none"/>
          <w:lang w:eastAsia="zh-CN"/>
          <w14:textFill>
            <w14:solidFill>
              <w14:schemeClr w14:val="tx1"/>
            </w14:solidFill>
          </w14:textFill>
        </w:rPr>
        <w:t>采购方</w:t>
      </w:r>
      <w:r>
        <w:rPr>
          <w:rFonts w:hint="eastAsia" w:ascii="宋体" w:hAnsi="宋体" w:cs="Arial"/>
          <w:color w:val="000000" w:themeColor="text1"/>
          <w:szCs w:val="21"/>
          <w:highlight w:val="none"/>
          <w14:textFill>
            <w14:solidFill>
              <w14:schemeClr w14:val="tx1"/>
            </w14:solidFill>
          </w14:textFill>
        </w:rPr>
        <w:t>自负盈亏。</w:t>
      </w:r>
    </w:p>
    <w:p>
      <w:pPr>
        <w:spacing w:line="276" w:lineRule="auto"/>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4.2.</w:t>
      </w: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人力配置：</w:t>
      </w:r>
      <w:r>
        <w:rPr>
          <w:rFonts w:hint="eastAsia" w:ascii="宋体" w:hAnsi="宋体" w:cs="Arial"/>
          <w:color w:val="000000" w:themeColor="text1"/>
          <w:szCs w:val="21"/>
          <w:highlight w:val="none"/>
          <w:lang w:eastAsia="zh-CN"/>
          <w14:textFill>
            <w14:solidFill>
              <w14:schemeClr w14:val="tx1"/>
            </w14:solidFill>
          </w14:textFill>
        </w:rPr>
        <w:t>采购方</w:t>
      </w:r>
      <w:r>
        <w:rPr>
          <w:rFonts w:hint="eastAsia" w:ascii="宋体" w:hAnsi="宋体" w:cs="Arial"/>
          <w:color w:val="000000" w:themeColor="text1"/>
          <w:szCs w:val="21"/>
          <w:highlight w:val="none"/>
          <w14:textFill>
            <w14:solidFill>
              <w14:schemeClr w14:val="tx1"/>
            </w14:solidFill>
          </w14:textFill>
        </w:rPr>
        <w:t>按照</w:t>
      </w:r>
      <w:r>
        <w:rPr>
          <w:rFonts w:hint="eastAsia" w:ascii="宋体" w:hAnsi="宋体" w:cs="Arial"/>
          <w:color w:val="000000" w:themeColor="text1"/>
          <w:szCs w:val="21"/>
          <w:highlight w:val="none"/>
          <w:lang w:eastAsia="zh-CN"/>
          <w14:textFill>
            <w14:solidFill>
              <w14:schemeClr w14:val="tx1"/>
            </w14:solidFill>
          </w14:textFill>
        </w:rPr>
        <w:t>招标方</w:t>
      </w:r>
      <w:r>
        <w:rPr>
          <w:rFonts w:hint="eastAsia" w:ascii="宋体" w:hAnsi="宋体" w:cs="Arial"/>
          <w:color w:val="000000" w:themeColor="text1"/>
          <w:szCs w:val="21"/>
          <w:highlight w:val="none"/>
          <w14:textFill>
            <w14:solidFill>
              <w14:schemeClr w14:val="tx1"/>
            </w14:solidFill>
          </w14:textFill>
        </w:rPr>
        <w:t>确认的人力架构安排驻场值班人员，覆盖白班夜班</w:t>
      </w:r>
      <w:r>
        <w:rPr>
          <w:rFonts w:ascii="宋体" w:hAnsi="宋体" w:cs="Arial"/>
          <w:color w:val="000000" w:themeColor="text1"/>
          <w:szCs w:val="21"/>
          <w:highlight w:val="none"/>
          <w14:textFill>
            <w14:solidFill>
              <w14:schemeClr w14:val="tx1"/>
            </w14:solidFill>
          </w14:textFill>
        </w:rPr>
        <w:t>。</w:t>
      </w:r>
    </w:p>
    <w:p>
      <w:pPr>
        <w:spacing w:line="276" w:lineRule="auto"/>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4.2.3</w:t>
      </w:r>
      <w:r>
        <w:rPr>
          <w:rFonts w:hint="eastAsia" w:ascii="宋体" w:hAnsi="宋体" w:cs="Arial"/>
          <w:color w:val="000000" w:themeColor="text1"/>
          <w:szCs w:val="21"/>
          <w:highlight w:val="none"/>
          <w:lang w:eastAsia="zh-CN"/>
          <w14:textFill>
            <w14:solidFill>
              <w14:schemeClr w14:val="tx1"/>
            </w14:solidFill>
          </w14:textFill>
        </w:rPr>
        <w:t>采购方</w:t>
      </w:r>
      <w:r>
        <w:rPr>
          <w:rFonts w:ascii="宋体" w:hAnsi="宋体" w:cs="Arial"/>
          <w:color w:val="000000" w:themeColor="text1"/>
          <w:szCs w:val="21"/>
          <w:highlight w:val="none"/>
          <w14:textFill>
            <w14:solidFill>
              <w14:schemeClr w14:val="tx1"/>
            </w14:solidFill>
          </w14:textFill>
        </w:rPr>
        <w:t>配置的人力应满足现场维护的需求</w:t>
      </w:r>
      <w:r>
        <w:rPr>
          <w:rFonts w:hint="eastAsia" w:ascii="宋体" w:hAnsi="宋体" w:cs="Arial"/>
          <w:color w:val="000000" w:themeColor="text1"/>
          <w:szCs w:val="21"/>
          <w:highlight w:val="none"/>
          <w14:textFill>
            <w14:solidFill>
              <w14:schemeClr w14:val="tx1"/>
            </w14:solidFill>
          </w14:textFill>
        </w:rPr>
        <w:t>参照下表</w:t>
      </w:r>
    </w:p>
    <w:tbl>
      <w:tblPr>
        <w:tblStyle w:val="24"/>
        <w:tblW w:w="869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709"/>
        <w:gridCol w:w="2976"/>
        <w:gridCol w:w="3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75"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851"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职位</w:t>
            </w:r>
          </w:p>
        </w:tc>
        <w:tc>
          <w:tcPr>
            <w:tcW w:w="709"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人员配置</w:t>
            </w:r>
          </w:p>
        </w:tc>
        <w:tc>
          <w:tcPr>
            <w:tcW w:w="2976"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工作任务</w:t>
            </w:r>
          </w:p>
        </w:tc>
        <w:tc>
          <w:tcPr>
            <w:tcW w:w="3479"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5"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851"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站长</w:t>
            </w:r>
          </w:p>
        </w:tc>
        <w:tc>
          <w:tcPr>
            <w:tcW w:w="709"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1人</w:t>
            </w:r>
          </w:p>
        </w:tc>
        <w:tc>
          <w:tcPr>
            <w:tcW w:w="2976"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站内运行及维护总负责及协调</w:t>
            </w:r>
          </w:p>
        </w:tc>
        <w:tc>
          <w:tcPr>
            <w:tcW w:w="3479" w:type="dxa"/>
            <w:noWrap w:val="0"/>
            <w:vAlign w:val="center"/>
          </w:tcPr>
          <w:p>
            <w:pPr>
              <w:pStyle w:val="47"/>
              <w:spacing w:line="240" w:lineRule="atLeast"/>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30</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50</w:t>
            </w:r>
            <w:r>
              <w:rPr>
                <w:rFonts w:hint="eastAsia"/>
                <w:color w:val="000000" w:themeColor="text1"/>
                <w:sz w:val="21"/>
                <w:szCs w:val="21"/>
                <w:highlight w:val="none"/>
                <w14:textFill>
                  <w14:solidFill>
                    <w14:schemeClr w14:val="tx1"/>
                  </w14:solidFill>
                </w14:textFill>
              </w:rPr>
              <w:t>岁，大专及以上学历，变电站电气系统</w:t>
            </w:r>
            <w:r>
              <w:rPr>
                <w:color w:val="000000" w:themeColor="text1"/>
                <w:sz w:val="21"/>
                <w:szCs w:val="21"/>
                <w:highlight w:val="none"/>
                <w14:textFill>
                  <w14:solidFill>
                    <w14:schemeClr w14:val="tx1"/>
                  </w14:solidFill>
                </w14:textFill>
              </w:rPr>
              <w:t>8</w:t>
            </w:r>
            <w:r>
              <w:rPr>
                <w:rFonts w:hint="eastAsia"/>
                <w:color w:val="000000" w:themeColor="text1"/>
                <w:sz w:val="21"/>
                <w:szCs w:val="21"/>
                <w:highlight w:val="none"/>
                <w14:textFill>
                  <w14:solidFill>
                    <w14:schemeClr w14:val="tx1"/>
                  </w14:solidFill>
                </w14:textFill>
              </w:rPr>
              <w:t>年以上运维管理工作经验；</w:t>
            </w:r>
          </w:p>
          <w:p>
            <w:pPr>
              <w:pStyle w:val="47"/>
              <w:spacing w:line="240" w:lineRule="atLeast"/>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2、有较丰富的团队管理经验；</w:t>
            </w:r>
          </w:p>
          <w:p>
            <w:pPr>
              <w:pStyle w:val="47"/>
              <w:spacing w:line="240" w:lineRule="atLeast"/>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3、有较强的抗压能力，沟通良好，思维逻辑清晰；</w:t>
            </w:r>
          </w:p>
          <w:p>
            <w:pPr>
              <w:pStyle w:val="47"/>
              <w:spacing w:line="240" w:lineRule="atLeast"/>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4、有运维体系管理经验和电气系统应急处置的经验；</w:t>
            </w:r>
          </w:p>
          <w:p>
            <w:pPr>
              <w:pStyle w:val="19"/>
              <w:adjustRightInd w:val="0"/>
              <w:snapToGrid w:val="0"/>
              <w:spacing w:before="0" w:beforeAutospacing="0" w:after="0" w:afterAutospacing="0" w:line="480" w:lineRule="auto"/>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5、有高低压电工操作、证电力调度员证；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5"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p>
        </w:tc>
        <w:tc>
          <w:tcPr>
            <w:tcW w:w="851"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值班长</w:t>
            </w:r>
          </w:p>
        </w:tc>
        <w:tc>
          <w:tcPr>
            <w:tcW w:w="709"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人</w:t>
            </w:r>
          </w:p>
        </w:tc>
        <w:tc>
          <w:tcPr>
            <w:tcW w:w="2976"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当班期间站内运行及维护负责人</w:t>
            </w:r>
          </w:p>
        </w:tc>
        <w:tc>
          <w:tcPr>
            <w:tcW w:w="3479" w:type="dxa"/>
            <w:noWrap w:val="0"/>
            <w:vAlign w:val="center"/>
          </w:tcPr>
          <w:p>
            <w:pPr>
              <w:pStyle w:val="47"/>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30</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45</w:t>
            </w:r>
            <w:r>
              <w:rPr>
                <w:rFonts w:hint="eastAsia"/>
                <w:color w:val="000000" w:themeColor="text1"/>
                <w:sz w:val="21"/>
                <w:szCs w:val="21"/>
                <w:highlight w:val="none"/>
                <w14:textFill>
                  <w14:solidFill>
                    <w14:schemeClr w14:val="tx1"/>
                  </w14:solidFill>
                </w14:textFill>
              </w:rPr>
              <w:t>岁，大专及以上学历，变电站电气系统5年以上运维管理工作经验；</w:t>
            </w:r>
          </w:p>
          <w:p>
            <w:pPr>
              <w:pStyle w:val="47"/>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2、有较丰富的团队管理经验；</w:t>
            </w:r>
          </w:p>
          <w:p>
            <w:pPr>
              <w:pStyle w:val="47"/>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3、有较强的抗压能力，沟通良好，思维逻辑清晰；</w:t>
            </w:r>
          </w:p>
          <w:p>
            <w:pPr>
              <w:pStyle w:val="19"/>
              <w:adjustRightInd w:val="0"/>
              <w:snapToGrid w:val="0"/>
              <w:spacing w:before="0" w:beforeAutospacing="0" w:after="0" w:afterAutospacing="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4、有运维体系管理经验和电气系统应急处置的经验；</w:t>
            </w:r>
          </w:p>
          <w:p>
            <w:pPr>
              <w:pStyle w:val="19"/>
              <w:adjustRightInd w:val="0"/>
              <w:snapToGrid w:val="0"/>
              <w:spacing w:before="0" w:beforeAutospacing="0" w:after="0" w:afterAutospacing="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5、有高低压电工操作证；</w:t>
            </w:r>
          </w:p>
          <w:p>
            <w:pPr>
              <w:pStyle w:val="19"/>
              <w:adjustRightInd w:val="0"/>
              <w:snapToGrid w:val="0"/>
              <w:spacing w:before="0" w:beforeAutospacing="0" w:after="0" w:afterAutospacing="0"/>
              <w:jc w:val="both"/>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、必须经业主面试审核通过方可上岗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75"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p>
        </w:tc>
        <w:tc>
          <w:tcPr>
            <w:tcW w:w="851"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值班员</w:t>
            </w:r>
          </w:p>
        </w:tc>
        <w:tc>
          <w:tcPr>
            <w:tcW w:w="709"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人</w:t>
            </w:r>
          </w:p>
        </w:tc>
        <w:tc>
          <w:tcPr>
            <w:tcW w:w="2976" w:type="dxa"/>
            <w:noWrap w:val="0"/>
            <w:vAlign w:val="center"/>
          </w:tcPr>
          <w:p>
            <w:pPr>
              <w:pStyle w:val="19"/>
              <w:adjustRightInd w:val="0"/>
              <w:snapToGrid w:val="0"/>
              <w:spacing w:before="0" w:beforeAutospacing="0" w:after="0" w:afterAutospacing="0" w:line="480" w:lineRule="auto"/>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在值班长的领导下进行站内运行及维护工作</w:t>
            </w:r>
          </w:p>
        </w:tc>
        <w:tc>
          <w:tcPr>
            <w:tcW w:w="3479" w:type="dxa"/>
            <w:noWrap w:val="0"/>
            <w:vAlign w:val="center"/>
          </w:tcPr>
          <w:p>
            <w:pPr>
              <w:pStyle w:val="47"/>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color w:val="000000" w:themeColor="text1"/>
                <w:sz w:val="21"/>
                <w:szCs w:val="21"/>
                <w:highlight w:val="none"/>
                <w14:textFill>
                  <w14:solidFill>
                    <w14:schemeClr w14:val="tx1"/>
                  </w14:solidFill>
                </w14:textFill>
              </w:rPr>
              <w:t>25</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45</w:t>
            </w:r>
            <w:r>
              <w:rPr>
                <w:rFonts w:hint="eastAsia"/>
                <w:color w:val="000000" w:themeColor="text1"/>
                <w:sz w:val="21"/>
                <w:szCs w:val="21"/>
                <w:highlight w:val="none"/>
                <w14:textFill>
                  <w14:solidFill>
                    <w14:schemeClr w14:val="tx1"/>
                  </w14:solidFill>
                </w14:textFill>
              </w:rPr>
              <w:t>岁，大专及以上学历，变电站电气系统</w:t>
            </w:r>
            <w:r>
              <w:rPr>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年以上运维管理工作经验；</w:t>
            </w:r>
          </w:p>
          <w:p>
            <w:pPr>
              <w:pStyle w:val="47"/>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2、有较强的抗压能力，沟通良好，思维逻辑清晰；</w:t>
            </w:r>
          </w:p>
          <w:p>
            <w:pPr>
              <w:pStyle w:val="19"/>
              <w:adjustRightInd w:val="0"/>
              <w:snapToGrid w:val="0"/>
              <w:spacing w:before="0" w:beforeAutospacing="0" w:after="0" w:afterAutospacing="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、有电气系统应急处置的经验；</w:t>
            </w:r>
          </w:p>
          <w:p>
            <w:pPr>
              <w:pStyle w:val="19"/>
              <w:adjustRightInd w:val="0"/>
              <w:snapToGrid w:val="0"/>
              <w:spacing w:before="0" w:beforeAutospacing="0" w:after="0" w:afterAutospacing="0"/>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、有高低压电工操作证；</w:t>
            </w:r>
          </w:p>
          <w:p>
            <w:pPr>
              <w:pStyle w:val="47"/>
              <w:spacing w:line="240" w:lineRule="atLeast"/>
              <w:ind w:firstLine="0" w:firstLineChars="0"/>
              <w:rPr>
                <w:rFonts w:hint="eastAsia"/>
                <w:b/>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w:t>
            </w:r>
            <w:r>
              <w:rPr>
                <w:rFonts w:hint="eastAsia"/>
                <w:color w:val="000000" w:themeColor="text1"/>
                <w:sz w:val="21"/>
                <w:szCs w:val="21"/>
                <w:highlight w:val="none"/>
                <w14:textFill>
                  <w14:solidFill>
                    <w14:schemeClr w14:val="tx1"/>
                  </w14:solidFill>
                </w14:textFill>
              </w:rPr>
              <w:t>、必须经业主面试审核通过方可上岗</w:t>
            </w:r>
          </w:p>
        </w:tc>
      </w:tr>
    </w:tbl>
    <w:p>
      <w:pPr>
        <w:spacing w:line="276" w:lineRule="auto"/>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4.3</w:t>
      </w:r>
      <w:r>
        <w:rPr>
          <w:rFonts w:hint="eastAsia" w:ascii="宋体" w:hAnsi="宋体" w:cs="Arial"/>
          <w:color w:val="000000" w:themeColor="text1"/>
          <w:szCs w:val="21"/>
          <w:highlight w:val="none"/>
          <w:lang w:eastAsia="zh-CN"/>
          <w14:textFill>
            <w14:solidFill>
              <w14:schemeClr w14:val="tx1"/>
            </w14:solidFill>
          </w14:textFill>
        </w:rPr>
        <w:t>采购方</w:t>
      </w:r>
      <w:r>
        <w:rPr>
          <w:rFonts w:hint="eastAsia" w:ascii="宋体" w:hAnsi="宋体" w:cs="Arial"/>
          <w:color w:val="000000" w:themeColor="text1"/>
          <w:szCs w:val="21"/>
          <w:highlight w:val="none"/>
          <w14:textFill>
            <w14:solidFill>
              <w14:schemeClr w14:val="tx1"/>
            </w14:solidFill>
          </w14:textFill>
        </w:rPr>
        <w:t>站长、值班长、值班员</w:t>
      </w:r>
      <w:r>
        <w:rPr>
          <w:rFonts w:ascii="宋体" w:hAnsi="宋体" w:cs="Arial"/>
          <w:color w:val="000000" w:themeColor="text1"/>
          <w:szCs w:val="21"/>
          <w:highlight w:val="none"/>
          <w14:textFill>
            <w14:solidFill>
              <w14:schemeClr w14:val="tx1"/>
            </w14:solidFill>
          </w14:textFill>
        </w:rPr>
        <w:t>，需经</w:t>
      </w:r>
      <w:r>
        <w:rPr>
          <w:rFonts w:hint="eastAsia" w:ascii="宋体" w:hAnsi="宋体" w:cs="Arial"/>
          <w:color w:val="000000" w:themeColor="text1"/>
          <w:szCs w:val="21"/>
          <w:highlight w:val="none"/>
          <w:lang w:eastAsia="zh-CN"/>
          <w14:textFill>
            <w14:solidFill>
              <w14:schemeClr w14:val="tx1"/>
            </w14:solidFill>
          </w14:textFill>
        </w:rPr>
        <w:t>招标方</w:t>
      </w:r>
      <w:r>
        <w:rPr>
          <w:rFonts w:ascii="宋体" w:hAnsi="宋体" w:cs="Arial"/>
          <w:color w:val="000000" w:themeColor="text1"/>
          <w:szCs w:val="21"/>
          <w:highlight w:val="none"/>
          <w14:textFill>
            <w14:solidFill>
              <w14:schemeClr w14:val="tx1"/>
            </w14:solidFill>
          </w14:textFill>
        </w:rPr>
        <w:t>面试审核通过后才可录用。实际工作过程中，如发现</w:t>
      </w:r>
      <w:r>
        <w:rPr>
          <w:rFonts w:hint="eastAsia" w:ascii="宋体" w:hAnsi="宋体" w:cs="Arial"/>
          <w:color w:val="000000" w:themeColor="text1"/>
          <w:szCs w:val="21"/>
          <w:highlight w:val="none"/>
          <w:lang w:eastAsia="zh-CN"/>
          <w14:textFill>
            <w14:solidFill>
              <w14:schemeClr w14:val="tx1"/>
            </w14:solidFill>
          </w14:textFill>
        </w:rPr>
        <w:t>采购方</w:t>
      </w:r>
      <w:r>
        <w:rPr>
          <w:rFonts w:ascii="宋体" w:hAnsi="宋体" w:cs="Arial"/>
          <w:color w:val="000000" w:themeColor="text1"/>
          <w:szCs w:val="21"/>
          <w:highlight w:val="none"/>
          <w14:textFill>
            <w14:solidFill>
              <w14:schemeClr w14:val="tx1"/>
            </w14:solidFill>
          </w14:textFill>
        </w:rPr>
        <w:t>人员不能满足岗位需求，</w:t>
      </w:r>
      <w:r>
        <w:rPr>
          <w:rFonts w:hint="eastAsia" w:ascii="宋体" w:hAnsi="宋体" w:cs="Arial"/>
          <w:color w:val="000000" w:themeColor="text1"/>
          <w:szCs w:val="21"/>
          <w:highlight w:val="none"/>
          <w:lang w:eastAsia="zh-CN"/>
          <w14:textFill>
            <w14:solidFill>
              <w14:schemeClr w14:val="tx1"/>
            </w14:solidFill>
          </w14:textFill>
        </w:rPr>
        <w:t>招标方</w:t>
      </w:r>
      <w:r>
        <w:rPr>
          <w:rFonts w:ascii="宋体" w:hAnsi="宋体" w:cs="Arial"/>
          <w:color w:val="000000" w:themeColor="text1"/>
          <w:szCs w:val="21"/>
          <w:highlight w:val="none"/>
          <w14:textFill>
            <w14:solidFill>
              <w14:schemeClr w14:val="tx1"/>
            </w14:solidFill>
          </w14:textFill>
        </w:rPr>
        <w:t>有权要求限期更换。</w:t>
      </w:r>
    </w:p>
    <w:p>
      <w:pPr>
        <w:spacing w:line="276" w:lineRule="auto"/>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4.4</w:t>
      </w:r>
      <w:r>
        <w:rPr>
          <w:rFonts w:ascii="宋体" w:hAnsi="宋体" w:cs="Arial"/>
          <w:color w:val="000000" w:themeColor="text1"/>
          <w:szCs w:val="21"/>
          <w:highlight w:val="none"/>
          <w14:textFill>
            <w14:solidFill>
              <w14:schemeClr w14:val="tx1"/>
            </w14:solidFill>
          </w14:textFill>
        </w:rPr>
        <w:t>考勤要求：</w:t>
      </w:r>
      <w:r>
        <w:rPr>
          <w:rFonts w:hint="eastAsia" w:ascii="宋体" w:hAnsi="宋体" w:cs="Arial"/>
          <w:color w:val="000000" w:themeColor="text1"/>
          <w:szCs w:val="21"/>
          <w:highlight w:val="none"/>
          <w14:textFill>
            <w14:solidFill>
              <w14:schemeClr w14:val="tx1"/>
            </w14:solidFill>
          </w14:textFill>
        </w:rPr>
        <w:t>全年7天×24h，</w:t>
      </w:r>
      <w:r>
        <w:rPr>
          <w:rFonts w:hint="eastAsia" w:ascii="宋体" w:hAnsi="宋体" w:cs="Arial"/>
          <w:color w:val="000000" w:themeColor="text1"/>
          <w:szCs w:val="21"/>
          <w:highlight w:val="none"/>
          <w:lang w:eastAsia="zh-CN"/>
          <w14:textFill>
            <w14:solidFill>
              <w14:schemeClr w14:val="tx1"/>
            </w14:solidFill>
          </w14:textFill>
        </w:rPr>
        <w:t>采购方</w:t>
      </w:r>
      <w:r>
        <w:rPr>
          <w:rFonts w:hint="eastAsia" w:ascii="宋体" w:hAnsi="宋体" w:cs="Arial"/>
          <w:color w:val="000000" w:themeColor="text1"/>
          <w:szCs w:val="21"/>
          <w:highlight w:val="none"/>
          <w14:textFill>
            <w14:solidFill>
              <w14:schemeClr w14:val="tx1"/>
            </w14:solidFill>
          </w14:textFill>
        </w:rPr>
        <w:t>提供驻场值班人员2人/班，覆盖白班夜班，值班人员均需持有效的高低压操作资格证，所有人员必须按</w:t>
      </w:r>
      <w:r>
        <w:rPr>
          <w:rFonts w:hint="eastAsia" w:ascii="宋体" w:hAnsi="宋体" w:cs="Arial"/>
          <w:color w:val="000000" w:themeColor="text1"/>
          <w:szCs w:val="21"/>
          <w:highlight w:val="none"/>
          <w:lang w:eastAsia="zh-CN"/>
          <w14:textFill>
            <w14:solidFill>
              <w14:schemeClr w14:val="tx1"/>
            </w14:solidFill>
          </w14:textFill>
        </w:rPr>
        <w:t>招标方</w:t>
      </w:r>
      <w:r>
        <w:rPr>
          <w:rFonts w:hint="eastAsia" w:ascii="宋体" w:hAnsi="宋体" w:cs="Arial"/>
          <w:color w:val="000000" w:themeColor="text1"/>
          <w:szCs w:val="21"/>
          <w:highlight w:val="none"/>
          <w14:textFill>
            <w14:solidFill>
              <w14:schemeClr w14:val="tx1"/>
            </w14:solidFill>
          </w14:textFill>
        </w:rPr>
        <w:t>要求到指定地点进行上下班打卡。每人每月漏打卡次数≤3次，漏打卡大于3次</w:t>
      </w:r>
      <w:r>
        <w:rPr>
          <w:rFonts w:hint="eastAsia" w:ascii="宋体" w:hAnsi="宋体" w:cs="Arial"/>
          <w:color w:val="000000" w:themeColor="text1"/>
          <w:szCs w:val="21"/>
          <w:highlight w:val="none"/>
          <w:lang w:eastAsia="zh-CN"/>
          <w14:textFill>
            <w14:solidFill>
              <w14:schemeClr w14:val="tx1"/>
            </w14:solidFill>
          </w14:textFill>
        </w:rPr>
        <w:t>招标方</w:t>
      </w:r>
      <w:r>
        <w:rPr>
          <w:rFonts w:hint="eastAsia" w:ascii="宋体" w:hAnsi="宋体" w:cs="Arial"/>
          <w:color w:val="000000" w:themeColor="text1"/>
          <w:szCs w:val="21"/>
          <w:highlight w:val="none"/>
          <w14:textFill>
            <w14:solidFill>
              <w14:schemeClr w14:val="tx1"/>
            </w14:solidFill>
          </w14:textFill>
        </w:rPr>
        <w:t>有权对其进行考核扣分。</w:t>
      </w:r>
    </w:p>
    <w:p>
      <w:pPr>
        <w:spacing w:line="276" w:lineRule="auto"/>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4.5</w:t>
      </w:r>
      <w:r>
        <w:rPr>
          <w:rFonts w:hint="eastAsia" w:ascii="宋体" w:hAnsi="宋体" w:cs="Arial"/>
          <w:color w:val="000000" w:themeColor="text1"/>
          <w:szCs w:val="21"/>
          <w:highlight w:val="none"/>
          <w:lang w:eastAsia="zh-CN"/>
          <w14:textFill>
            <w14:solidFill>
              <w14:schemeClr w14:val="tx1"/>
            </w14:solidFill>
          </w14:textFill>
        </w:rPr>
        <w:t>招标方</w:t>
      </w:r>
      <w:r>
        <w:rPr>
          <w:rFonts w:ascii="宋体" w:hAnsi="宋体" w:cs="Arial"/>
          <w:color w:val="000000" w:themeColor="text1"/>
          <w:szCs w:val="21"/>
          <w:highlight w:val="none"/>
          <w14:textFill>
            <w14:solidFill>
              <w14:schemeClr w14:val="tx1"/>
            </w14:solidFill>
          </w14:textFill>
        </w:rPr>
        <w:t>不承担</w:t>
      </w:r>
      <w:r>
        <w:rPr>
          <w:rFonts w:hint="eastAsia" w:ascii="宋体" w:hAnsi="宋体" w:cs="Arial"/>
          <w:color w:val="000000" w:themeColor="text1"/>
          <w:szCs w:val="21"/>
          <w:highlight w:val="none"/>
          <w:lang w:eastAsia="zh-CN"/>
          <w14:textFill>
            <w14:solidFill>
              <w14:schemeClr w14:val="tx1"/>
            </w14:solidFill>
          </w14:textFill>
        </w:rPr>
        <w:t>采购方</w:t>
      </w:r>
      <w:r>
        <w:rPr>
          <w:rFonts w:ascii="宋体" w:hAnsi="宋体" w:cs="Arial"/>
          <w:color w:val="000000" w:themeColor="text1"/>
          <w:szCs w:val="21"/>
          <w:highlight w:val="none"/>
          <w14:textFill>
            <w14:solidFill>
              <w14:schemeClr w14:val="tx1"/>
            </w14:solidFill>
          </w14:textFill>
        </w:rPr>
        <w:t>值班人员加班（含节假日）费用。</w:t>
      </w:r>
    </w:p>
    <w:p>
      <w:pPr>
        <w:spacing w:line="276" w:lineRule="auto"/>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4.6</w:t>
      </w:r>
      <w:r>
        <w:rPr>
          <w:rFonts w:hint="eastAsia" w:ascii="宋体" w:hAnsi="宋体" w:cs="Arial"/>
          <w:color w:val="000000" w:themeColor="text1"/>
          <w:szCs w:val="21"/>
          <w:highlight w:val="none"/>
          <w14:textFill>
            <w14:solidFill>
              <w14:schemeClr w14:val="tx1"/>
            </w14:solidFill>
          </w14:textFill>
        </w:rPr>
        <w:t>电站</w:t>
      </w:r>
      <w:r>
        <w:rPr>
          <w:rFonts w:ascii="宋体" w:hAnsi="宋体" w:cs="Arial"/>
          <w:color w:val="000000" w:themeColor="text1"/>
          <w:szCs w:val="21"/>
          <w:highlight w:val="none"/>
          <w14:textFill>
            <w14:solidFill>
              <w14:schemeClr w14:val="tx1"/>
            </w14:solidFill>
          </w14:textFill>
        </w:rPr>
        <w:t>运维外包服务月度考核</w:t>
      </w:r>
      <w:r>
        <w:rPr>
          <w:rFonts w:hint="eastAsia" w:ascii="宋体" w:hAnsi="宋体" w:cs="Arial"/>
          <w:color w:val="000000" w:themeColor="text1"/>
          <w:szCs w:val="21"/>
          <w:highlight w:val="none"/>
          <w14:textFill>
            <w14:solidFill>
              <w14:schemeClr w14:val="tx1"/>
            </w14:solidFill>
          </w14:textFill>
        </w:rPr>
        <w:t>：考核内容详见</w:t>
      </w:r>
      <w:r>
        <w:rPr>
          <w:rFonts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运维考核及评分</w:t>
      </w:r>
      <w:r>
        <w:rPr>
          <w:rFonts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，次月6号前F</w:t>
      </w:r>
      <w:r>
        <w:rPr>
          <w:rFonts w:ascii="宋体" w:hAnsi="宋体" w:cs="Arial"/>
          <w:color w:val="000000" w:themeColor="text1"/>
          <w:szCs w:val="21"/>
          <w:highlight w:val="none"/>
          <w14:textFill>
            <w14:solidFill>
              <w14:schemeClr w14:val="tx1"/>
            </w14:solidFill>
          </w14:textFill>
        </w:rPr>
        <w:t>E</w:t>
      </w:r>
      <w:r>
        <w:rPr>
          <w:rFonts w:hint="eastAsia" w:ascii="宋体" w:hAnsi="宋体" w:cs="Arial"/>
          <w:color w:val="000000" w:themeColor="text1"/>
          <w:szCs w:val="21"/>
          <w:highlight w:val="none"/>
          <w14:textFill>
            <w14:solidFill>
              <w14:schemeClr w14:val="tx1"/>
            </w14:solidFill>
          </w14:textFill>
        </w:rPr>
        <w:t>责任工程师对电站运维外包服务上一月度的表现进行综合评分，评分扣分项目均要有依据，评分完成后会签电站运维外包服务站长，并经F</w:t>
      </w:r>
      <w:r>
        <w:rPr>
          <w:rFonts w:ascii="宋体" w:hAnsi="宋体" w:cs="Arial"/>
          <w:color w:val="000000" w:themeColor="text1"/>
          <w:szCs w:val="21"/>
          <w:highlight w:val="none"/>
          <w14:textFill>
            <w14:solidFill>
              <w14:schemeClr w14:val="tx1"/>
            </w14:solidFill>
          </w14:textFill>
        </w:rPr>
        <w:t>E</w:t>
      </w:r>
      <w:r>
        <w:rPr>
          <w:rFonts w:hint="eastAsia" w:ascii="宋体" w:hAnsi="宋体" w:cs="Arial"/>
          <w:color w:val="000000" w:themeColor="text1"/>
          <w:szCs w:val="21"/>
          <w:highlight w:val="none"/>
          <w14:textFill>
            <w14:solidFill>
              <w14:schemeClr w14:val="tx1"/>
            </w14:solidFill>
          </w14:textFill>
        </w:rPr>
        <w:t>基地负责人审批后作为结算的附件之一。</w:t>
      </w:r>
    </w:p>
    <w:p>
      <w:pPr>
        <w:pStyle w:val="65"/>
        <w:spacing w:line="276" w:lineRule="auto"/>
        <w:ind w:firstLine="0"/>
        <w:rPr>
          <w:rFonts w:cs="Arial"/>
          <w:color w:val="000000" w:themeColor="text1"/>
          <w:kern w:val="2"/>
          <w:sz w:val="21"/>
          <w:szCs w:val="21"/>
          <w:highlight w:val="none"/>
          <w:lang w:val="en-US" w:eastAsia="zh-CN" w:bidi="ar-SA"/>
          <w14:textFill>
            <w14:solidFill>
              <w14:schemeClr w14:val="tx1"/>
            </w14:solidFill>
          </w14:textFill>
        </w:rPr>
      </w:pPr>
      <w:r>
        <w:rPr>
          <w:rFonts w:hint="eastAsia" w:cs="Arial"/>
          <w:color w:val="000000" w:themeColor="text1"/>
          <w:kern w:val="2"/>
          <w:sz w:val="21"/>
          <w:szCs w:val="21"/>
          <w:highlight w:val="none"/>
          <w:lang w:val="en-US" w:eastAsia="zh-CN" w:bidi="ar-SA"/>
          <w14:textFill>
            <w14:solidFill>
              <w14:schemeClr w14:val="tx1"/>
            </w14:solidFill>
          </w14:textFill>
        </w:rPr>
        <w:t>4.7</w:t>
      </w:r>
      <w:r>
        <w:rPr>
          <w:rFonts w:cs="Arial"/>
          <w:color w:val="000000" w:themeColor="text1"/>
          <w:kern w:val="2"/>
          <w:sz w:val="21"/>
          <w:szCs w:val="21"/>
          <w:highlight w:val="none"/>
          <w:lang w:val="en-US" w:eastAsia="zh-CN" w:bidi="ar-SA"/>
          <w14:textFill>
            <w14:solidFill>
              <w14:schemeClr w14:val="tx1"/>
            </w14:solidFill>
          </w14:textFill>
        </w:rPr>
        <w:t>.费用及付款方式</w:t>
      </w:r>
      <w:bookmarkStart w:id="40" w:name="bookmark2"/>
      <w:r>
        <w:rPr>
          <w:rFonts w:hint="eastAsia" w:cs="Arial"/>
          <w:color w:val="000000" w:themeColor="text1"/>
          <w:kern w:val="2"/>
          <w:sz w:val="21"/>
          <w:szCs w:val="21"/>
          <w:highlight w:val="none"/>
          <w:lang w:val="en-US" w:eastAsia="zh-CN" w:bidi="ar-SA"/>
          <w14:textFill>
            <w14:solidFill>
              <w14:schemeClr w14:val="tx1"/>
            </w14:solidFill>
          </w14:textFill>
        </w:rPr>
        <w:t>：</w:t>
      </w:r>
    </w:p>
    <w:bookmarkEnd w:id="40"/>
    <w:p>
      <w:pPr>
        <w:pStyle w:val="65"/>
        <w:spacing w:line="276" w:lineRule="auto"/>
        <w:ind w:firstLine="0"/>
        <w:rPr>
          <w:rFonts w:cs="Arial"/>
          <w:color w:val="000000" w:themeColor="text1"/>
          <w:kern w:val="2"/>
          <w:sz w:val="21"/>
          <w:szCs w:val="21"/>
          <w:highlight w:val="none"/>
          <w:lang w:val="en-US" w:eastAsia="zh-CN" w:bidi="ar-SA"/>
          <w14:textFill>
            <w14:solidFill>
              <w14:schemeClr w14:val="tx1"/>
            </w14:solidFill>
          </w14:textFill>
        </w:rPr>
      </w:pPr>
      <w:r>
        <w:rPr>
          <w:rFonts w:cs="Arial"/>
          <w:color w:val="000000" w:themeColor="text1"/>
          <w:kern w:val="2"/>
          <w:sz w:val="21"/>
          <w:szCs w:val="21"/>
          <w:highlight w:val="none"/>
          <w:lang w:val="en-US" w:eastAsia="zh-CN" w:bidi="ar-SA"/>
          <w14:textFill>
            <w14:solidFill>
              <w14:schemeClr w14:val="tx1"/>
            </w14:solidFill>
          </w14:textFill>
        </w:rPr>
        <w:t>4.</w:t>
      </w:r>
      <w:r>
        <w:rPr>
          <w:rFonts w:hint="eastAsia" w:cs="Arial"/>
          <w:color w:val="000000" w:themeColor="text1"/>
          <w:kern w:val="2"/>
          <w:sz w:val="21"/>
          <w:szCs w:val="21"/>
          <w:highlight w:val="none"/>
          <w:lang w:val="en-US" w:eastAsia="zh-CN" w:bidi="ar-SA"/>
          <w14:textFill>
            <w14:solidFill>
              <w14:schemeClr w14:val="tx1"/>
            </w14:solidFill>
          </w14:textFill>
        </w:rPr>
        <w:t>7.1</w:t>
      </w:r>
      <w:r>
        <w:rPr>
          <w:rFonts w:cs="Arial"/>
          <w:color w:val="000000" w:themeColor="text1"/>
          <w:kern w:val="2"/>
          <w:sz w:val="21"/>
          <w:szCs w:val="21"/>
          <w:highlight w:val="none"/>
          <w:lang w:val="en-US" w:eastAsia="zh-CN" w:bidi="ar-SA"/>
          <w14:textFill>
            <w14:solidFill>
              <w14:schemeClr w14:val="tx1"/>
            </w14:solidFill>
          </w14:textFill>
        </w:rPr>
        <w:t>服务费用：</w:t>
      </w:r>
      <w:r>
        <w:rPr>
          <w:rFonts w:hint="eastAsia" w:cs="Arial"/>
          <w:color w:val="000000" w:themeColor="text1"/>
          <w:kern w:val="2"/>
          <w:sz w:val="21"/>
          <w:szCs w:val="21"/>
          <w:highlight w:val="none"/>
          <w:lang w:val="en-US" w:eastAsia="zh-CN" w:bidi="ar-SA"/>
          <w14:textFill>
            <w14:solidFill>
              <w14:schemeClr w14:val="tx1"/>
            </w14:solidFill>
          </w14:textFill>
        </w:rPr>
        <w:t>采用季度结方式，</w:t>
      </w:r>
      <w:r>
        <w:rPr>
          <w:rFonts w:cs="Arial"/>
          <w:color w:val="000000" w:themeColor="text1"/>
          <w:kern w:val="2"/>
          <w:sz w:val="21"/>
          <w:szCs w:val="21"/>
          <w:highlight w:val="none"/>
          <w:lang w:val="en-US" w:eastAsia="zh-CN" w:bidi="ar-SA"/>
          <w14:textFill>
            <w14:solidFill>
              <w14:schemeClr w14:val="tx1"/>
            </w14:solidFill>
          </w14:textFill>
        </w:rPr>
        <w:t>包括</w:t>
      </w:r>
      <w:r>
        <w:rPr>
          <w:rFonts w:hint="eastAsia" w:cs="Arial"/>
          <w:color w:val="000000" w:themeColor="text1"/>
          <w:kern w:val="2"/>
          <w:sz w:val="21"/>
          <w:szCs w:val="21"/>
          <w:highlight w:val="none"/>
          <w:lang w:val="en-US" w:eastAsia="zh-CN" w:bidi="ar-SA"/>
          <w14:textFill>
            <w14:solidFill>
              <w14:schemeClr w14:val="tx1"/>
            </w14:solidFill>
          </w14:textFill>
        </w:rPr>
        <w:t>采购方</w:t>
      </w:r>
      <w:r>
        <w:rPr>
          <w:rFonts w:cs="Arial"/>
          <w:color w:val="000000" w:themeColor="text1"/>
          <w:kern w:val="2"/>
          <w:sz w:val="21"/>
          <w:szCs w:val="21"/>
          <w:highlight w:val="none"/>
          <w:lang w:val="en-US" w:eastAsia="zh-CN" w:bidi="ar-SA"/>
          <w14:textFill>
            <w14:solidFill>
              <w14:schemeClr w14:val="tx1"/>
            </w14:solidFill>
          </w14:textFill>
        </w:rPr>
        <w:t>就本服务内容及工作成果等工作之全部费用。此为</w:t>
      </w:r>
      <w:r>
        <w:rPr>
          <w:rFonts w:hint="eastAsia" w:cs="Arial"/>
          <w:color w:val="000000" w:themeColor="text1"/>
          <w:kern w:val="2"/>
          <w:sz w:val="21"/>
          <w:szCs w:val="21"/>
          <w:highlight w:val="none"/>
          <w:lang w:val="en-US" w:eastAsia="zh-CN" w:bidi="ar-SA"/>
          <w14:textFill>
            <w14:solidFill>
              <w14:schemeClr w14:val="tx1"/>
            </w14:solidFill>
          </w14:textFill>
        </w:rPr>
        <w:t>招标方</w:t>
      </w:r>
      <w:r>
        <w:rPr>
          <w:rFonts w:cs="Arial"/>
          <w:color w:val="000000" w:themeColor="text1"/>
          <w:kern w:val="2"/>
          <w:sz w:val="21"/>
          <w:szCs w:val="21"/>
          <w:highlight w:val="none"/>
          <w:lang w:val="en-US" w:eastAsia="zh-CN" w:bidi="ar-SA"/>
          <w14:textFill>
            <w14:solidFill>
              <w14:schemeClr w14:val="tx1"/>
            </w14:solidFill>
          </w14:textFill>
        </w:rPr>
        <w:t>依本协议规定而就本服务及工作成果所应支付</w:t>
      </w:r>
      <w:r>
        <w:rPr>
          <w:rFonts w:hint="eastAsia" w:cs="Arial"/>
          <w:color w:val="000000" w:themeColor="text1"/>
          <w:kern w:val="2"/>
          <w:sz w:val="21"/>
          <w:szCs w:val="21"/>
          <w:highlight w:val="none"/>
          <w:lang w:val="en-US" w:eastAsia="zh-CN" w:bidi="ar-SA"/>
          <w14:textFill>
            <w14:solidFill>
              <w14:schemeClr w14:val="tx1"/>
            </w14:solidFill>
          </w14:textFill>
        </w:rPr>
        <w:t>采购方</w:t>
      </w:r>
      <w:r>
        <w:rPr>
          <w:rFonts w:cs="Arial"/>
          <w:color w:val="000000" w:themeColor="text1"/>
          <w:kern w:val="2"/>
          <w:sz w:val="21"/>
          <w:szCs w:val="21"/>
          <w:highlight w:val="none"/>
          <w:lang w:val="en-US" w:eastAsia="zh-CN" w:bidi="ar-SA"/>
          <w14:textFill>
            <w14:solidFill>
              <w14:schemeClr w14:val="tx1"/>
            </w14:solidFill>
          </w14:textFill>
        </w:rPr>
        <w:t>之全部对价，</w:t>
      </w:r>
      <w:r>
        <w:rPr>
          <w:rFonts w:hint="eastAsia" w:cs="Arial"/>
          <w:color w:val="000000" w:themeColor="text1"/>
          <w:kern w:val="2"/>
          <w:sz w:val="21"/>
          <w:szCs w:val="21"/>
          <w:highlight w:val="none"/>
          <w:lang w:val="en-US" w:eastAsia="zh-CN" w:bidi="ar-SA"/>
          <w14:textFill>
            <w14:solidFill>
              <w14:schemeClr w14:val="tx1"/>
            </w14:solidFill>
          </w14:textFill>
        </w:rPr>
        <w:t>采购方</w:t>
      </w:r>
      <w:r>
        <w:rPr>
          <w:rFonts w:cs="Arial"/>
          <w:color w:val="000000" w:themeColor="text1"/>
          <w:kern w:val="2"/>
          <w:sz w:val="21"/>
          <w:szCs w:val="21"/>
          <w:highlight w:val="none"/>
          <w:lang w:val="en-US" w:eastAsia="zh-CN" w:bidi="ar-SA"/>
          <w14:textFill>
            <w14:solidFill>
              <w14:schemeClr w14:val="tx1"/>
            </w14:solidFill>
          </w14:textFill>
        </w:rPr>
        <w:t>不得再向</w:t>
      </w:r>
      <w:r>
        <w:rPr>
          <w:rFonts w:hint="eastAsia" w:cs="Arial"/>
          <w:color w:val="000000" w:themeColor="text1"/>
          <w:kern w:val="2"/>
          <w:sz w:val="21"/>
          <w:szCs w:val="21"/>
          <w:highlight w:val="none"/>
          <w:lang w:val="en-US" w:eastAsia="zh-CN" w:bidi="ar-SA"/>
          <w14:textFill>
            <w14:solidFill>
              <w14:schemeClr w14:val="tx1"/>
            </w14:solidFill>
          </w14:textFill>
        </w:rPr>
        <w:t>招标方</w:t>
      </w:r>
      <w:r>
        <w:rPr>
          <w:rFonts w:cs="Arial"/>
          <w:color w:val="000000" w:themeColor="text1"/>
          <w:kern w:val="2"/>
          <w:sz w:val="21"/>
          <w:szCs w:val="21"/>
          <w:highlight w:val="none"/>
          <w:lang w:val="en-US" w:eastAsia="zh-CN" w:bidi="ar-SA"/>
          <w14:textFill>
            <w14:solidFill>
              <w14:schemeClr w14:val="tx1"/>
            </w14:solidFill>
          </w14:textFill>
        </w:rPr>
        <w:t>要求其他费用或补偿。</w:t>
      </w:r>
      <w:r>
        <w:rPr>
          <w:rFonts w:hint="eastAsia" w:cs="Arial"/>
          <w:color w:val="000000" w:themeColor="text1"/>
          <w:sz w:val="21"/>
          <w:szCs w:val="21"/>
          <w:highlight w:val="none"/>
          <w:lang w:eastAsia="zh-CN"/>
          <w14:textFill>
            <w14:solidFill>
              <w14:schemeClr w14:val="tx1"/>
            </w14:solidFill>
          </w14:textFill>
        </w:rPr>
        <w:t>预试费用根据实际是否发生据实结算。</w:t>
      </w:r>
    </w:p>
    <w:p>
      <w:pPr>
        <w:pStyle w:val="65"/>
        <w:spacing w:line="276" w:lineRule="auto"/>
        <w:ind w:firstLine="0"/>
        <w:rPr>
          <w:rFonts w:cs="Arial"/>
          <w:color w:val="000000" w:themeColor="text1"/>
          <w:kern w:val="2"/>
          <w:sz w:val="21"/>
          <w:szCs w:val="21"/>
          <w:highlight w:val="none"/>
          <w:lang w:val="en-US" w:eastAsia="zh-CN" w:bidi="ar-SA"/>
          <w14:textFill>
            <w14:solidFill>
              <w14:schemeClr w14:val="tx1"/>
            </w14:solidFill>
          </w14:textFill>
        </w:rPr>
      </w:pPr>
      <w:r>
        <w:rPr>
          <w:rFonts w:cs="Arial"/>
          <w:color w:val="000000" w:themeColor="text1"/>
          <w:kern w:val="2"/>
          <w:sz w:val="21"/>
          <w:szCs w:val="21"/>
          <w:highlight w:val="none"/>
          <w:lang w:val="en-US" w:eastAsia="zh-CN" w:bidi="ar-SA"/>
          <w14:textFill>
            <w14:solidFill>
              <w14:schemeClr w14:val="tx1"/>
            </w14:solidFill>
          </w14:textFill>
        </w:rPr>
        <w:t>4.</w:t>
      </w:r>
      <w:r>
        <w:rPr>
          <w:rFonts w:hint="eastAsia" w:cs="Arial"/>
          <w:color w:val="000000" w:themeColor="text1"/>
          <w:kern w:val="2"/>
          <w:sz w:val="21"/>
          <w:szCs w:val="21"/>
          <w:highlight w:val="none"/>
          <w:lang w:val="en-US" w:eastAsia="zh-CN" w:bidi="ar-SA"/>
          <w14:textFill>
            <w14:solidFill>
              <w14:schemeClr w14:val="tx1"/>
            </w14:solidFill>
          </w14:textFill>
        </w:rPr>
        <w:t>8结算</w:t>
      </w:r>
      <w:r>
        <w:rPr>
          <w:rFonts w:cs="Arial"/>
          <w:color w:val="000000" w:themeColor="text1"/>
          <w:kern w:val="2"/>
          <w:sz w:val="21"/>
          <w:szCs w:val="21"/>
          <w:highlight w:val="none"/>
          <w:lang w:val="en-US" w:eastAsia="zh-CN" w:bidi="ar-SA"/>
          <w14:textFill>
            <w14:solidFill>
              <w14:schemeClr w14:val="tx1"/>
            </w14:solidFill>
          </w14:textFill>
        </w:rPr>
        <w:t>方式：</w:t>
      </w:r>
      <w:r>
        <w:rPr>
          <w:rFonts w:hint="eastAsia" w:cs="Arial"/>
          <w:color w:val="000000" w:themeColor="text1"/>
          <w:kern w:val="2"/>
          <w:sz w:val="21"/>
          <w:szCs w:val="21"/>
          <w:highlight w:val="none"/>
          <w:lang w:val="en-US" w:eastAsia="zh-CN" w:bidi="ar-SA"/>
          <w14:textFill>
            <w14:solidFill>
              <w14:schemeClr w14:val="tx1"/>
            </w14:solidFill>
          </w14:textFill>
        </w:rPr>
        <w:t>《运维考核评分表》+</w:t>
      </w:r>
      <w:r>
        <w:rPr>
          <w:rFonts w:cs="Arial"/>
          <w:color w:val="000000" w:themeColor="text1"/>
          <w:kern w:val="2"/>
          <w:sz w:val="21"/>
          <w:szCs w:val="21"/>
          <w:highlight w:val="none"/>
          <w:lang w:val="en-US" w:eastAsia="zh-CN" w:bidi="ar-SA"/>
          <w14:textFill>
            <w14:solidFill>
              <w14:schemeClr w14:val="tx1"/>
            </w14:solidFill>
          </w14:textFill>
        </w:rPr>
        <w:t xml:space="preserve"> </w:t>
      </w:r>
      <w:r>
        <w:rPr>
          <w:rFonts w:hint="eastAsia" w:cs="Arial"/>
          <w:color w:val="000000" w:themeColor="text1"/>
          <w:kern w:val="2"/>
          <w:sz w:val="21"/>
          <w:szCs w:val="21"/>
          <w:highlight w:val="none"/>
          <w:lang w:val="en-US" w:eastAsia="zh-CN" w:bidi="ar-SA"/>
          <w14:textFill>
            <w14:solidFill>
              <w14:schemeClr w14:val="tx1"/>
            </w14:solidFill>
          </w14:textFill>
        </w:rPr>
        <w:t>电站运维报告相结合。</w:t>
      </w:r>
    </w:p>
    <w:p>
      <w:pPr>
        <w:pStyle w:val="65"/>
        <w:spacing w:line="276" w:lineRule="auto"/>
        <w:ind w:firstLine="0"/>
        <w:rPr>
          <w:rFonts w:cs="Arial"/>
          <w:color w:val="000000" w:themeColor="text1"/>
          <w:kern w:val="2"/>
          <w:sz w:val="21"/>
          <w:szCs w:val="21"/>
          <w:highlight w:val="none"/>
          <w:lang w:val="en-US" w:eastAsia="zh-CN" w:bidi="ar-SA"/>
          <w14:textFill>
            <w14:solidFill>
              <w14:schemeClr w14:val="tx1"/>
            </w14:solidFill>
          </w14:textFill>
        </w:rPr>
      </w:pPr>
      <w:r>
        <w:rPr>
          <w:rFonts w:hint="eastAsia" w:cs="Arial"/>
          <w:color w:val="000000" w:themeColor="text1"/>
          <w:kern w:val="2"/>
          <w:sz w:val="21"/>
          <w:szCs w:val="21"/>
          <w:highlight w:val="none"/>
          <w:lang w:val="en-US" w:eastAsia="zh-CN" w:bidi="ar-SA"/>
          <w14:textFill>
            <w14:solidFill>
              <w14:schemeClr w14:val="tx1"/>
            </w14:solidFill>
          </w14:textFill>
        </w:rPr>
        <w:t>4</w:t>
      </w:r>
      <w:r>
        <w:rPr>
          <w:rFonts w:cs="Arial"/>
          <w:color w:val="000000" w:themeColor="text1"/>
          <w:kern w:val="2"/>
          <w:sz w:val="21"/>
          <w:szCs w:val="21"/>
          <w:highlight w:val="none"/>
          <w:lang w:val="en-US" w:eastAsia="zh-CN" w:bidi="ar-SA"/>
          <w14:textFill>
            <w14:solidFill>
              <w14:schemeClr w14:val="tx1"/>
            </w14:solidFill>
          </w14:textFill>
        </w:rPr>
        <w:t>.</w:t>
      </w:r>
      <w:r>
        <w:rPr>
          <w:rFonts w:hint="eastAsia" w:cs="Arial"/>
          <w:color w:val="000000" w:themeColor="text1"/>
          <w:kern w:val="2"/>
          <w:sz w:val="21"/>
          <w:szCs w:val="21"/>
          <w:highlight w:val="none"/>
          <w:lang w:val="en-US" w:eastAsia="zh-CN" w:bidi="ar-SA"/>
          <w14:textFill>
            <w14:solidFill>
              <w14:schemeClr w14:val="tx1"/>
            </w14:solidFill>
          </w14:textFill>
        </w:rPr>
        <w:t>8</w:t>
      </w:r>
      <w:r>
        <w:rPr>
          <w:rFonts w:cs="Arial"/>
          <w:color w:val="000000" w:themeColor="text1"/>
          <w:kern w:val="2"/>
          <w:sz w:val="21"/>
          <w:szCs w:val="21"/>
          <w:highlight w:val="none"/>
          <w:lang w:val="en-US" w:eastAsia="zh-CN" w:bidi="ar-SA"/>
          <w14:textFill>
            <w14:solidFill>
              <w14:schemeClr w14:val="tx1"/>
            </w14:solidFill>
          </w14:textFill>
        </w:rPr>
        <w:t>.1</w:t>
      </w:r>
      <w:r>
        <w:rPr>
          <w:rFonts w:hint="eastAsia" w:cs="Arial"/>
          <w:color w:val="000000" w:themeColor="text1"/>
          <w:kern w:val="2"/>
          <w:sz w:val="21"/>
          <w:szCs w:val="21"/>
          <w:highlight w:val="none"/>
          <w:lang w:val="en-US" w:eastAsia="zh-CN" w:bidi="ar-SA"/>
          <w14:textFill>
            <w14:solidFill>
              <w14:schemeClr w14:val="tx1"/>
            </w14:solidFill>
          </w14:textFill>
        </w:rPr>
        <w:t>招标方</w:t>
      </w:r>
      <w:r>
        <w:rPr>
          <w:rFonts w:cs="Arial"/>
          <w:color w:val="000000" w:themeColor="text1"/>
          <w:kern w:val="2"/>
          <w:sz w:val="21"/>
          <w:szCs w:val="21"/>
          <w:highlight w:val="none"/>
          <w:lang w:val="en-US" w:eastAsia="zh-CN" w:bidi="ar-SA"/>
          <w14:textFill>
            <w14:solidFill>
              <w14:schemeClr w14:val="tx1"/>
            </w14:solidFill>
          </w14:textFill>
        </w:rPr>
        <w:t>每月根据附件</w:t>
      </w:r>
      <w:r>
        <w:rPr>
          <w:rFonts w:hint="eastAsia" w:cs="Arial"/>
          <w:color w:val="000000" w:themeColor="text1"/>
          <w:kern w:val="2"/>
          <w:sz w:val="21"/>
          <w:szCs w:val="21"/>
          <w:highlight w:val="none"/>
          <w:lang w:val="en-US" w:eastAsia="zh-CN" w:bidi="ar-SA"/>
          <w14:textFill>
            <w14:solidFill>
              <w14:schemeClr w14:val="tx1"/>
            </w14:solidFill>
          </w14:textFill>
        </w:rPr>
        <w:t>1</w:t>
      </w:r>
      <w:r>
        <w:rPr>
          <w:rFonts w:cs="Arial"/>
          <w:color w:val="000000" w:themeColor="text1"/>
          <w:kern w:val="2"/>
          <w:sz w:val="21"/>
          <w:szCs w:val="21"/>
          <w:highlight w:val="none"/>
          <w:lang w:val="en-US" w:eastAsia="zh-CN" w:bidi="ar-SA"/>
          <w14:textFill>
            <w14:solidFill>
              <w14:schemeClr w14:val="tx1"/>
            </w14:solidFill>
          </w14:textFill>
        </w:rPr>
        <w:t>《</w:t>
      </w:r>
      <w:r>
        <w:rPr>
          <w:rFonts w:hint="eastAsia" w:cs="Arial"/>
          <w:color w:val="000000" w:themeColor="text1"/>
          <w:kern w:val="2"/>
          <w:sz w:val="21"/>
          <w:szCs w:val="21"/>
          <w:highlight w:val="none"/>
          <w:lang w:val="en-US" w:eastAsia="zh-CN" w:bidi="ar-SA"/>
          <w14:textFill>
            <w14:solidFill>
              <w14:schemeClr w14:val="tx1"/>
            </w14:solidFill>
          </w14:textFill>
        </w:rPr>
        <w:t>运维考核评分表</w:t>
      </w:r>
      <w:r>
        <w:rPr>
          <w:rFonts w:cs="Arial"/>
          <w:color w:val="000000" w:themeColor="text1"/>
          <w:kern w:val="2"/>
          <w:sz w:val="21"/>
          <w:szCs w:val="21"/>
          <w:highlight w:val="none"/>
          <w:lang w:val="en-US" w:eastAsia="zh-CN" w:bidi="ar-SA"/>
          <w14:textFill>
            <w14:solidFill>
              <w14:schemeClr w14:val="tx1"/>
            </w14:solidFill>
          </w14:textFill>
        </w:rPr>
        <w:t>》对</w:t>
      </w:r>
      <w:r>
        <w:rPr>
          <w:rFonts w:hint="eastAsia" w:cs="Arial"/>
          <w:color w:val="000000" w:themeColor="text1"/>
          <w:kern w:val="2"/>
          <w:sz w:val="21"/>
          <w:szCs w:val="21"/>
          <w:highlight w:val="none"/>
          <w:lang w:val="en-US" w:eastAsia="zh-CN" w:bidi="ar-SA"/>
          <w14:textFill>
            <w14:solidFill>
              <w14:schemeClr w14:val="tx1"/>
            </w14:solidFill>
          </w14:textFill>
        </w:rPr>
        <w:t>采购方</w:t>
      </w:r>
      <w:r>
        <w:rPr>
          <w:rFonts w:cs="Arial"/>
          <w:color w:val="000000" w:themeColor="text1"/>
          <w:kern w:val="2"/>
          <w:sz w:val="21"/>
          <w:szCs w:val="21"/>
          <w:highlight w:val="none"/>
          <w:lang w:val="en-US" w:eastAsia="zh-CN" w:bidi="ar-SA"/>
          <w14:textFill>
            <w14:solidFill>
              <w14:schemeClr w14:val="tx1"/>
            </w14:solidFill>
          </w14:textFill>
        </w:rPr>
        <w:t>进行一次运行维保评分，</w:t>
      </w:r>
      <w:r>
        <w:rPr>
          <w:rFonts w:hint="eastAsia" w:cs="Arial"/>
          <w:color w:val="000000" w:themeColor="text1"/>
          <w:kern w:val="2"/>
          <w:sz w:val="21"/>
          <w:szCs w:val="21"/>
          <w:highlight w:val="none"/>
          <w:lang w:val="en-US" w:eastAsia="zh-CN" w:bidi="ar-SA"/>
          <w14:textFill>
            <w14:solidFill>
              <w14:schemeClr w14:val="tx1"/>
            </w14:solidFill>
          </w14:textFill>
        </w:rPr>
        <w:t>业主通过该表每月1~10日对上个月进行考核打分，总分80分及以上为及格；总分低于80分高于70分（含70分）的需提供整改计划（招标方通知3天内整改完毕），总分低于70分则从当月应支付采购方的款项中对采购方进行扣款，每少一分则在当月应支付款项中扣除当月应支付金额的1%,依次累积。</w:t>
      </w:r>
    </w:p>
    <w:p>
      <w:pPr>
        <w:pStyle w:val="65"/>
        <w:spacing w:line="276" w:lineRule="auto"/>
        <w:ind w:firstLine="0"/>
        <w:rPr>
          <w:rFonts w:cs="Arial"/>
          <w:color w:val="000000" w:themeColor="text1"/>
          <w:kern w:val="2"/>
          <w:sz w:val="21"/>
          <w:szCs w:val="21"/>
          <w:highlight w:val="none"/>
          <w:lang w:val="en-US" w:eastAsia="zh-CN" w:bidi="ar-SA"/>
          <w14:textFill>
            <w14:solidFill>
              <w14:schemeClr w14:val="tx1"/>
            </w14:solidFill>
          </w14:textFill>
        </w:rPr>
      </w:pPr>
      <w:r>
        <w:rPr>
          <w:rFonts w:hint="eastAsia" w:cs="Arial"/>
          <w:color w:val="000000" w:themeColor="text1"/>
          <w:kern w:val="2"/>
          <w:sz w:val="21"/>
          <w:szCs w:val="21"/>
          <w:highlight w:val="none"/>
          <w:lang w:val="en-US" w:eastAsia="zh-CN" w:bidi="ar-SA"/>
          <w14:textFill>
            <w14:solidFill>
              <w14:schemeClr w14:val="tx1"/>
            </w14:solidFill>
          </w14:textFill>
        </w:rPr>
        <w:t>4.9</w:t>
      </w:r>
      <w:r>
        <w:rPr>
          <w:rFonts w:cs="Arial"/>
          <w:color w:val="000000" w:themeColor="text1"/>
          <w:kern w:val="2"/>
          <w:sz w:val="21"/>
          <w:szCs w:val="21"/>
          <w:highlight w:val="none"/>
          <w:lang w:val="en-US" w:eastAsia="zh-CN" w:bidi="ar-SA"/>
          <w14:textFill>
            <w14:solidFill>
              <w14:schemeClr w14:val="tx1"/>
            </w14:solidFill>
          </w14:textFill>
        </w:rPr>
        <w:t>.</w:t>
      </w:r>
      <w:r>
        <w:rPr>
          <w:rFonts w:hint="eastAsia" w:cs="Arial"/>
          <w:color w:val="000000" w:themeColor="text1"/>
          <w:kern w:val="2"/>
          <w:sz w:val="21"/>
          <w:szCs w:val="21"/>
          <w:highlight w:val="none"/>
          <w:lang w:val="en-US" w:eastAsia="zh-CN" w:bidi="ar-SA"/>
          <w14:textFill>
            <w14:solidFill>
              <w14:schemeClr w14:val="tx1"/>
            </w14:solidFill>
          </w14:textFill>
        </w:rPr>
        <w:t>值班休息场所：招标方免费提供采购方值班、休息场地，办公用品、耗材、电器设备等由采购方自备。</w:t>
      </w:r>
    </w:p>
    <w:p>
      <w:pPr>
        <w:pStyle w:val="65"/>
        <w:spacing w:line="276" w:lineRule="auto"/>
        <w:ind w:firstLine="0"/>
        <w:rPr>
          <w:rFonts w:cs="Arial"/>
          <w:color w:val="000000" w:themeColor="text1"/>
          <w:kern w:val="2"/>
          <w:sz w:val="21"/>
          <w:szCs w:val="21"/>
          <w:highlight w:val="none"/>
          <w:lang w:val="en-US" w:eastAsia="zh-CN" w:bidi="ar-SA"/>
          <w14:textFill>
            <w14:solidFill>
              <w14:schemeClr w14:val="tx1"/>
            </w14:solidFill>
          </w14:textFill>
        </w:rPr>
      </w:pPr>
      <w:r>
        <w:rPr>
          <w:rFonts w:hint="eastAsia" w:cs="Arial"/>
          <w:color w:val="000000" w:themeColor="text1"/>
          <w:kern w:val="2"/>
          <w:sz w:val="21"/>
          <w:szCs w:val="21"/>
          <w:highlight w:val="none"/>
          <w:lang w:val="en-US" w:eastAsia="zh-CN" w:bidi="ar-SA"/>
          <w14:textFill>
            <w14:solidFill>
              <w14:schemeClr w14:val="tx1"/>
            </w14:solidFill>
          </w14:textFill>
        </w:rPr>
        <w:t>4.10</w:t>
      </w:r>
      <w:r>
        <w:rPr>
          <w:rFonts w:cs="Arial"/>
          <w:color w:val="000000" w:themeColor="text1"/>
          <w:kern w:val="2"/>
          <w:sz w:val="21"/>
          <w:szCs w:val="21"/>
          <w:highlight w:val="none"/>
          <w:lang w:val="en-US" w:eastAsia="zh-CN" w:bidi="ar-SA"/>
          <w14:textFill>
            <w14:solidFill>
              <w14:schemeClr w14:val="tx1"/>
            </w14:solidFill>
          </w14:textFill>
        </w:rPr>
        <w:t>.</w:t>
      </w:r>
      <w:r>
        <w:rPr>
          <w:rFonts w:hint="eastAsia" w:cs="Arial"/>
          <w:color w:val="000000" w:themeColor="text1"/>
          <w:kern w:val="2"/>
          <w:sz w:val="21"/>
          <w:szCs w:val="21"/>
          <w:highlight w:val="none"/>
          <w:lang w:val="en-US" w:eastAsia="zh-CN" w:bidi="ar-SA"/>
          <w14:textFill>
            <w14:solidFill>
              <w14:schemeClr w14:val="tx1"/>
            </w14:solidFill>
          </w14:textFill>
        </w:rPr>
        <w:t>其它费用约定：</w:t>
      </w:r>
    </w:p>
    <w:p>
      <w:pPr>
        <w:pStyle w:val="65"/>
        <w:spacing w:line="276" w:lineRule="auto"/>
        <w:ind w:firstLine="0"/>
        <w:rPr>
          <w:rFonts w:cs="Arial"/>
          <w:color w:val="000000" w:themeColor="text1"/>
          <w:kern w:val="2"/>
          <w:sz w:val="21"/>
          <w:szCs w:val="21"/>
          <w:highlight w:val="none"/>
          <w:lang w:val="en-US" w:eastAsia="zh-CN" w:bidi="ar-SA"/>
          <w14:textFill>
            <w14:solidFill>
              <w14:schemeClr w14:val="tx1"/>
            </w14:solidFill>
          </w14:textFill>
        </w:rPr>
      </w:pPr>
      <w:r>
        <w:rPr>
          <w:rFonts w:hint="eastAsia" w:cs="Arial"/>
          <w:color w:val="000000" w:themeColor="text1"/>
          <w:kern w:val="2"/>
          <w:sz w:val="21"/>
          <w:szCs w:val="21"/>
          <w:highlight w:val="none"/>
          <w:lang w:val="en-US" w:eastAsia="zh-CN" w:bidi="ar-SA"/>
          <w14:textFill>
            <w14:solidFill>
              <w14:schemeClr w14:val="tx1"/>
            </w14:solidFill>
          </w14:textFill>
        </w:rPr>
        <w:t>4.10.1采购方</w:t>
      </w:r>
      <w:r>
        <w:rPr>
          <w:rFonts w:cs="Arial"/>
          <w:color w:val="000000" w:themeColor="text1"/>
          <w:kern w:val="2"/>
          <w:sz w:val="21"/>
          <w:szCs w:val="21"/>
          <w:highlight w:val="none"/>
          <w:lang w:val="en-US" w:eastAsia="zh-CN" w:bidi="ar-SA"/>
          <w14:textFill>
            <w14:solidFill>
              <w14:schemeClr w14:val="tx1"/>
            </w14:solidFill>
          </w14:textFill>
        </w:rPr>
        <w:t>自行承担</w:t>
      </w:r>
      <w:r>
        <w:rPr>
          <w:rFonts w:hint="eastAsia" w:cs="Arial"/>
          <w:color w:val="000000" w:themeColor="text1"/>
          <w:kern w:val="2"/>
          <w:sz w:val="21"/>
          <w:szCs w:val="21"/>
          <w:highlight w:val="none"/>
          <w:lang w:val="en-US" w:eastAsia="zh-CN" w:bidi="ar-SA"/>
          <w14:textFill>
            <w14:solidFill>
              <w14:schemeClr w14:val="tx1"/>
            </w14:solidFill>
          </w14:textFill>
        </w:rPr>
        <w:t>电站运维中必要的制度看板、5</w:t>
      </w:r>
      <w:r>
        <w:rPr>
          <w:rFonts w:cs="Arial"/>
          <w:color w:val="000000" w:themeColor="text1"/>
          <w:kern w:val="2"/>
          <w:sz w:val="21"/>
          <w:szCs w:val="21"/>
          <w:highlight w:val="none"/>
          <w:lang w:val="en-US" w:eastAsia="zh-CN" w:bidi="ar-SA"/>
          <w14:textFill>
            <w14:solidFill>
              <w14:schemeClr w14:val="tx1"/>
            </w14:solidFill>
          </w14:textFill>
        </w:rPr>
        <w:t>S</w:t>
      </w:r>
      <w:r>
        <w:rPr>
          <w:rFonts w:hint="eastAsia" w:cs="Arial"/>
          <w:color w:val="000000" w:themeColor="text1"/>
          <w:kern w:val="2"/>
          <w:sz w:val="21"/>
          <w:szCs w:val="21"/>
          <w:highlight w:val="none"/>
          <w:lang w:val="en-US" w:eastAsia="zh-CN" w:bidi="ar-SA"/>
          <w14:textFill>
            <w14:solidFill>
              <w14:schemeClr w14:val="tx1"/>
            </w14:solidFill>
          </w14:textFill>
        </w:rPr>
        <w:t>标识</w:t>
      </w:r>
      <w:r>
        <w:rPr>
          <w:rFonts w:cs="Arial"/>
          <w:color w:val="000000" w:themeColor="text1"/>
          <w:kern w:val="2"/>
          <w:sz w:val="21"/>
          <w:szCs w:val="21"/>
          <w:highlight w:val="none"/>
          <w:lang w:val="en-US" w:eastAsia="zh-CN" w:bidi="ar-SA"/>
          <w14:textFill>
            <w14:solidFill>
              <w14:schemeClr w14:val="tx1"/>
            </w14:solidFill>
          </w14:textFill>
        </w:rPr>
        <w:t>、现场机房体系文件实施的本、夹、挂件等</w:t>
      </w:r>
      <w:r>
        <w:rPr>
          <w:rFonts w:hint="eastAsia" w:cs="Arial"/>
          <w:color w:val="000000" w:themeColor="text1"/>
          <w:kern w:val="2"/>
          <w:sz w:val="21"/>
          <w:szCs w:val="21"/>
          <w:highlight w:val="none"/>
          <w:lang w:val="en-US" w:eastAsia="zh-CN" w:bidi="ar-SA"/>
          <w14:textFill>
            <w14:solidFill>
              <w14:schemeClr w14:val="tx1"/>
            </w14:solidFill>
          </w14:textFill>
        </w:rPr>
        <w:t>相关费用；维修、维保耗材由招标方负责。</w:t>
      </w:r>
    </w:p>
    <w:p>
      <w:pPr>
        <w:pStyle w:val="65"/>
        <w:spacing w:line="276" w:lineRule="auto"/>
        <w:ind w:firstLine="0"/>
        <w:rPr>
          <w:rFonts w:cs="Arial"/>
          <w:color w:val="000000" w:themeColor="text1"/>
          <w:kern w:val="2"/>
          <w:sz w:val="21"/>
          <w:szCs w:val="21"/>
          <w:highlight w:val="none"/>
          <w:lang w:val="en-US" w:eastAsia="zh-CN" w:bidi="ar-SA"/>
          <w14:textFill>
            <w14:solidFill>
              <w14:schemeClr w14:val="tx1"/>
            </w14:solidFill>
          </w14:textFill>
        </w:rPr>
      </w:pPr>
      <w:r>
        <w:rPr>
          <w:rFonts w:hint="eastAsia" w:cs="Arial"/>
          <w:color w:val="000000" w:themeColor="text1"/>
          <w:kern w:val="2"/>
          <w:sz w:val="21"/>
          <w:szCs w:val="21"/>
          <w:highlight w:val="none"/>
          <w:lang w:val="en-US" w:eastAsia="zh-CN" w:bidi="ar-SA"/>
          <w14:textFill>
            <w14:solidFill>
              <w14:schemeClr w14:val="tx1"/>
            </w14:solidFill>
          </w14:textFill>
        </w:rPr>
        <w:t>采购方根据维修/维保计划每月底提报次月备件采购计划，采购方负责更换；紧急情况下，经招标方同意后可先由采购方提供备品备件，后续付款时由招标方按市场价支付给采购方。</w:t>
      </w:r>
    </w:p>
    <w:p>
      <w:pPr>
        <w:pStyle w:val="65"/>
        <w:spacing w:line="276" w:lineRule="auto"/>
        <w:ind w:firstLine="0"/>
        <w:rPr>
          <w:rFonts w:cs="Arial"/>
          <w:color w:val="000000" w:themeColor="text1"/>
          <w:kern w:val="2"/>
          <w:sz w:val="21"/>
          <w:szCs w:val="21"/>
          <w:highlight w:val="none"/>
          <w:lang w:val="en-US" w:eastAsia="zh-CN" w:bidi="ar-SA"/>
          <w14:textFill>
            <w14:solidFill>
              <w14:schemeClr w14:val="tx1"/>
            </w14:solidFill>
          </w14:textFill>
        </w:rPr>
      </w:pPr>
      <w:r>
        <w:rPr>
          <w:rFonts w:hint="eastAsia" w:cs="Arial"/>
          <w:color w:val="000000" w:themeColor="text1"/>
          <w:kern w:val="2"/>
          <w:sz w:val="21"/>
          <w:szCs w:val="21"/>
          <w:highlight w:val="none"/>
          <w:lang w:val="en-US" w:eastAsia="zh-CN" w:bidi="ar-SA"/>
          <w14:textFill>
            <w14:solidFill>
              <w14:schemeClr w14:val="tx1"/>
            </w14:solidFill>
          </w14:textFill>
        </w:rPr>
        <w:t>4.10.2电力系统预防性试验由采购方组织实施预防性试验（依据协议单价清单，据实结算），采购方随运维报价同步提供预防性试验项目框架单价。</w:t>
      </w:r>
    </w:p>
    <w:p>
      <w:pPr>
        <w:pStyle w:val="65"/>
        <w:spacing w:line="276" w:lineRule="auto"/>
        <w:ind w:firstLine="0"/>
        <w:rPr>
          <w:rFonts w:hint="eastAsia" w:cs="Arial"/>
          <w:color w:val="000000" w:themeColor="text1"/>
          <w:kern w:val="2"/>
          <w:sz w:val="21"/>
          <w:szCs w:val="21"/>
          <w:highlight w:val="none"/>
          <w:lang w:val="en-US" w:eastAsia="zh-CN" w:bidi="ar-SA"/>
          <w14:textFill>
            <w14:solidFill>
              <w14:schemeClr w14:val="tx1"/>
            </w14:solidFill>
          </w14:textFill>
        </w:rPr>
      </w:pPr>
      <w:r>
        <w:rPr>
          <w:rFonts w:hint="eastAsia" w:cs="Arial"/>
          <w:color w:val="000000" w:themeColor="text1"/>
          <w:kern w:val="2"/>
          <w:sz w:val="21"/>
          <w:szCs w:val="21"/>
          <w:highlight w:val="none"/>
          <w:lang w:val="en-US" w:eastAsia="zh-CN" w:bidi="ar-SA"/>
          <w14:textFill>
            <w14:solidFill>
              <w14:schemeClr w14:val="tx1"/>
            </w14:solidFill>
          </w14:textFill>
        </w:rPr>
        <w:t>4.10.3</w:t>
      </w:r>
      <w:r>
        <w:rPr>
          <w:rFonts w:cs="Arial"/>
          <w:color w:val="000000" w:themeColor="text1"/>
          <w:kern w:val="2"/>
          <w:sz w:val="21"/>
          <w:szCs w:val="21"/>
          <w:highlight w:val="none"/>
          <w:lang w:val="en-US" w:eastAsia="zh-CN" w:bidi="ar-SA"/>
          <w14:textFill>
            <w14:solidFill>
              <w14:schemeClr w14:val="tx1"/>
            </w14:solidFill>
          </w14:textFill>
        </w:rPr>
        <w:t xml:space="preserve"> </w:t>
      </w:r>
      <w:r>
        <w:rPr>
          <w:rFonts w:hint="eastAsia" w:cs="Arial"/>
          <w:color w:val="000000" w:themeColor="text1"/>
          <w:kern w:val="2"/>
          <w:sz w:val="21"/>
          <w:szCs w:val="21"/>
          <w:highlight w:val="none"/>
          <w:lang w:val="en-US" w:eastAsia="zh-CN" w:bidi="ar-SA"/>
          <w14:textFill>
            <w14:solidFill>
              <w14:schemeClr w14:val="tx1"/>
            </w14:solidFill>
          </w14:textFill>
        </w:rPr>
        <w:t>如遇紧急维修，经招标方确认超出驻场运维人员维修能力时，采购方应第一时间协调资源抢修恢复，招标方依据实际投入的人力、材料等资源据实结算（必要时可经第三方审计公司认价）。</w:t>
      </w:r>
    </w:p>
    <w:p>
      <w:pPr>
        <w:pStyle w:val="19"/>
        <w:adjustRightInd w:val="0"/>
        <w:snapToGrid w:val="0"/>
        <w:spacing w:before="0" w:beforeAutospacing="0" w:after="0" w:afterAutospacing="0" w:line="480" w:lineRule="auto"/>
        <w:jc w:val="both"/>
        <w:rPr>
          <w:rFonts w:hint="eastAsia"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w:t>
      </w:r>
      <w:r>
        <w:rPr>
          <w:rFonts w:hint="eastAsia" w:ascii="宋体" w:hAnsi="宋体" w:cs="Arial"/>
          <w:color w:val="000000" w:themeColor="text1"/>
          <w:kern w:val="2"/>
          <w:sz w:val="21"/>
          <w:szCs w:val="21"/>
          <w:highlight w:val="none"/>
          <w14:textFill>
            <w14:solidFill>
              <w14:schemeClr w14:val="tx1"/>
            </w14:solidFill>
          </w14:textFill>
        </w:rPr>
        <w:t>运维需求范围</w:t>
      </w:r>
    </w:p>
    <w:tbl>
      <w:tblPr>
        <w:tblStyle w:val="24"/>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417"/>
        <w:gridCol w:w="992"/>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8" w:type="dxa"/>
            <w:noWrap w:val="0"/>
            <w:vAlign w:val="center"/>
          </w:tcPr>
          <w:p>
            <w:pPr>
              <w:spacing w:line="5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房间名称</w:t>
            </w:r>
          </w:p>
        </w:tc>
        <w:tc>
          <w:tcPr>
            <w:tcW w:w="1417" w:type="dxa"/>
            <w:noWrap w:val="0"/>
            <w:vAlign w:val="top"/>
          </w:tcPr>
          <w:p>
            <w:pPr>
              <w:spacing w:line="5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设备数量</w:t>
            </w:r>
          </w:p>
        </w:tc>
        <w:tc>
          <w:tcPr>
            <w:tcW w:w="992" w:type="dxa"/>
            <w:noWrap w:val="0"/>
            <w:vAlign w:val="center"/>
          </w:tcPr>
          <w:p>
            <w:pPr>
              <w:spacing w:line="5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规格</w:t>
            </w:r>
          </w:p>
        </w:tc>
        <w:tc>
          <w:tcPr>
            <w:tcW w:w="4655" w:type="dxa"/>
            <w:noWrap w:val="0"/>
            <w:vAlign w:val="center"/>
          </w:tcPr>
          <w:p>
            <w:pPr>
              <w:spacing w:line="5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8" w:type="dxa"/>
            <w:noWrap w:val="0"/>
            <w:vAlign w:val="center"/>
          </w:tcPr>
          <w:p>
            <w:pPr>
              <w:spacing w:line="5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变电站</w:t>
            </w:r>
          </w:p>
        </w:tc>
        <w:tc>
          <w:tcPr>
            <w:tcW w:w="1417" w:type="dxa"/>
            <w:noWrap w:val="0"/>
            <w:vAlign w:val="center"/>
          </w:tcPr>
          <w:p>
            <w:pPr>
              <w:spacing w:line="5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1座</w:t>
            </w:r>
          </w:p>
        </w:tc>
        <w:tc>
          <w:tcPr>
            <w:tcW w:w="992" w:type="dxa"/>
            <w:noWrap w:val="0"/>
            <w:vAlign w:val="center"/>
          </w:tcPr>
          <w:p>
            <w:pPr>
              <w:spacing w:line="5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110kV</w:t>
            </w:r>
          </w:p>
        </w:tc>
        <w:tc>
          <w:tcPr>
            <w:tcW w:w="4655" w:type="dxa"/>
            <w:noWrap w:val="0"/>
            <w:vAlign w:val="center"/>
          </w:tcPr>
          <w:p>
            <w:pPr>
              <w:spacing w:line="500" w:lineRule="exact"/>
              <w:jc w:val="lef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110kV</w:t>
            </w:r>
            <w:r>
              <w:rPr>
                <w:rFonts w:ascii="宋体" w:hAnsi="宋体" w:cs="Arial"/>
                <w:color w:val="000000" w:themeColor="text1"/>
                <w:szCs w:val="21"/>
                <w:highlight w:val="none"/>
                <w14:textFill>
                  <w14:solidFill>
                    <w14:schemeClr w14:val="tx1"/>
                  </w14:solidFill>
                </w14:textFill>
              </w:rPr>
              <w:t xml:space="preserve"> </w:t>
            </w:r>
            <w:r>
              <w:rPr>
                <w:rFonts w:hint="eastAsia" w:ascii="宋体" w:hAnsi="宋体" w:cs="Arial"/>
                <w:color w:val="000000" w:themeColor="text1"/>
                <w:szCs w:val="21"/>
                <w:highlight w:val="none"/>
                <w14:textFill>
                  <w14:solidFill>
                    <w14:schemeClr w14:val="tx1"/>
                  </w14:solidFill>
                </w14:textFill>
              </w:rPr>
              <w:t>GIS组合电器1套(GIS出线间隔3个、主变进线间隔2个、PT间隔2个、分段间隔1个、预留间隔1个)、10kV进线柜2个、10kV馈线柜24个、10kV电容器组4个、10kV</w:t>
            </w:r>
            <w:r>
              <w:rPr>
                <w:rFonts w:ascii="宋体" w:hAnsi="宋体" w:cs="Arial"/>
                <w:color w:val="000000" w:themeColor="text1"/>
                <w:szCs w:val="21"/>
                <w:highlight w:val="none"/>
                <w14:textFill>
                  <w14:solidFill>
                    <w14:schemeClr w14:val="tx1"/>
                  </w14:solidFill>
                </w14:textFill>
              </w:rPr>
              <w:t xml:space="preserve"> </w:t>
            </w:r>
            <w:r>
              <w:rPr>
                <w:rFonts w:hint="eastAsia" w:ascii="宋体" w:hAnsi="宋体" w:cs="Arial"/>
                <w:color w:val="000000" w:themeColor="text1"/>
                <w:szCs w:val="21"/>
                <w:highlight w:val="none"/>
                <w14:textFill>
                  <w14:solidFill>
                    <w14:schemeClr w14:val="tx1"/>
                  </w14:solidFill>
                </w14:textFill>
              </w:rPr>
              <w:t>PT柜2个、10kV分断柜2个(1个配断路器、1个配隔离开关)、10kV接地柜2个、站用变2台、63MW主变压器室内型油变2台、接地变及小电阻成套装置2套、封闭母线桥4套、 二次屏33个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8" w:type="dxa"/>
            <w:noWrap w:val="0"/>
            <w:vAlign w:val="center"/>
          </w:tcPr>
          <w:p>
            <w:pPr>
              <w:spacing w:line="500" w:lineRule="exact"/>
              <w:jc w:val="cente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10KV</w:t>
            </w:r>
            <w:r>
              <w:rPr>
                <w:rFonts w:hint="eastAsia" w:ascii="宋体" w:hAnsi="宋体" w:cs="Arial"/>
                <w:color w:val="000000" w:themeColor="text1"/>
                <w:szCs w:val="21"/>
                <w:highlight w:val="none"/>
                <w14:textFill>
                  <w14:solidFill>
                    <w14:schemeClr w14:val="tx1"/>
                  </w14:solidFill>
                </w14:textFill>
              </w:rPr>
              <w:t>配电装置室、0.4kV低压配电室</w:t>
            </w:r>
          </w:p>
        </w:tc>
        <w:tc>
          <w:tcPr>
            <w:tcW w:w="1417" w:type="dxa"/>
            <w:noWrap w:val="0"/>
            <w:vAlign w:val="center"/>
          </w:tcPr>
          <w:p>
            <w:pPr>
              <w:spacing w:line="500" w:lineRule="exact"/>
              <w:jc w:val="cente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5</w:t>
            </w:r>
            <w:r>
              <w:rPr>
                <w:rFonts w:hint="eastAsia" w:ascii="宋体" w:hAnsi="宋体" w:cs="Arial"/>
                <w:color w:val="000000" w:themeColor="text1"/>
                <w:szCs w:val="21"/>
                <w:highlight w:val="none"/>
                <w14:textFill>
                  <w14:solidFill>
                    <w14:schemeClr w14:val="tx1"/>
                  </w14:solidFill>
                </w14:textFill>
              </w:rPr>
              <w:t>个（T1/T2/T3/T4/锅炉高压室）</w:t>
            </w:r>
          </w:p>
        </w:tc>
        <w:tc>
          <w:tcPr>
            <w:tcW w:w="992" w:type="dxa"/>
            <w:noWrap w:val="0"/>
            <w:vAlign w:val="center"/>
          </w:tcPr>
          <w:p>
            <w:pPr>
              <w:spacing w:line="5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10</w:t>
            </w:r>
            <w:r>
              <w:rPr>
                <w:rFonts w:ascii="宋体" w:hAnsi="宋体" w:cs="Arial"/>
                <w:color w:val="000000" w:themeColor="text1"/>
                <w:szCs w:val="21"/>
                <w:highlight w:val="none"/>
                <w14:textFill>
                  <w14:solidFill>
                    <w14:schemeClr w14:val="tx1"/>
                  </w14:solidFill>
                </w14:textFill>
              </w:rPr>
              <w:t>KV</w:t>
            </w:r>
          </w:p>
        </w:tc>
        <w:tc>
          <w:tcPr>
            <w:tcW w:w="4655" w:type="dxa"/>
            <w:noWrap w:val="0"/>
            <w:vAlign w:val="center"/>
          </w:tcPr>
          <w:p>
            <w:pPr>
              <w:spacing w:line="500" w:lineRule="exact"/>
              <w:jc w:val="left"/>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10kv高压柜(门)x35个、变压器(3150kva x12台2500kva x 2台)0.4kv低压柜， 抽屉x104门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8" w:type="dxa"/>
            <w:noWrap w:val="0"/>
            <w:vAlign w:val="center"/>
          </w:tcPr>
          <w:p>
            <w:pPr>
              <w:spacing w:line="5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室外箱式变压器</w:t>
            </w:r>
          </w:p>
        </w:tc>
        <w:tc>
          <w:tcPr>
            <w:tcW w:w="1417" w:type="dxa"/>
            <w:noWrap w:val="0"/>
            <w:vAlign w:val="center"/>
          </w:tcPr>
          <w:p>
            <w:pPr>
              <w:spacing w:line="500" w:lineRule="exact"/>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2台</w:t>
            </w:r>
          </w:p>
        </w:tc>
        <w:tc>
          <w:tcPr>
            <w:tcW w:w="992" w:type="dxa"/>
            <w:noWrap w:val="0"/>
            <w:vAlign w:val="center"/>
          </w:tcPr>
          <w:p>
            <w:pPr>
              <w:spacing w:line="500" w:lineRule="exact"/>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w:t>
            </w:r>
            <w:r>
              <w:rPr>
                <w:rFonts w:ascii="宋体" w:hAnsi="宋体" w:cs="Arial"/>
                <w:color w:val="000000" w:themeColor="text1"/>
                <w:szCs w:val="21"/>
                <w:highlight w:val="none"/>
                <w14:textFill>
                  <w14:solidFill>
                    <w14:schemeClr w14:val="tx1"/>
                  </w14:solidFill>
                </w14:textFill>
              </w:rPr>
              <w:t>0</w:t>
            </w:r>
            <w:r>
              <w:rPr>
                <w:rFonts w:hint="eastAsia" w:ascii="宋体" w:hAnsi="宋体" w:cs="Arial"/>
                <w:color w:val="000000" w:themeColor="text1"/>
                <w:szCs w:val="21"/>
                <w:highlight w:val="none"/>
                <w14:textFill>
                  <w14:solidFill>
                    <w14:schemeClr w14:val="tx1"/>
                  </w14:solidFill>
                </w14:textFill>
              </w:rPr>
              <w:t>KV</w:t>
            </w:r>
          </w:p>
        </w:tc>
        <w:tc>
          <w:tcPr>
            <w:tcW w:w="4655" w:type="dxa"/>
            <w:noWrap w:val="0"/>
            <w:vAlign w:val="center"/>
          </w:tcPr>
          <w:p>
            <w:pPr>
              <w:spacing w:line="500" w:lineRule="exact"/>
              <w:jc w:val="left"/>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6</w:t>
            </w:r>
            <w:r>
              <w:rPr>
                <w:rFonts w:ascii="宋体" w:hAnsi="宋体" w:cs="Arial"/>
                <w:color w:val="000000" w:themeColor="text1"/>
                <w:szCs w:val="21"/>
                <w:highlight w:val="none"/>
                <w14:textFill>
                  <w14:solidFill>
                    <w14:schemeClr w14:val="tx1"/>
                  </w14:solidFill>
                </w14:textFill>
              </w:rPr>
              <w:t>30</w:t>
            </w:r>
            <w:r>
              <w:rPr>
                <w:rFonts w:hint="eastAsia" w:ascii="宋体" w:hAnsi="宋体" w:cs="Arial"/>
                <w:color w:val="000000" w:themeColor="text1"/>
                <w:szCs w:val="21"/>
                <w:highlight w:val="none"/>
                <w14:textFill>
                  <w14:solidFill>
                    <w14:schemeClr w14:val="tx1"/>
                  </w14:solidFill>
                </w14:textFill>
              </w:rPr>
              <w:t>KVA箱变x</w:t>
            </w:r>
            <w:r>
              <w:rPr>
                <w:rFonts w:ascii="宋体" w:hAnsi="宋体" w:cs="Arial"/>
                <w:color w:val="000000" w:themeColor="text1"/>
                <w:szCs w:val="21"/>
                <w:highlight w:val="none"/>
                <w14:textFill>
                  <w14:solidFill>
                    <w14:schemeClr w14:val="tx1"/>
                  </w14:solidFill>
                </w14:textFill>
              </w:rPr>
              <w:t>2</w:t>
            </w:r>
            <w:r>
              <w:rPr>
                <w:rFonts w:hint="eastAsia" w:ascii="宋体" w:hAnsi="宋体" w:cs="Arial"/>
                <w:color w:val="000000" w:themeColor="text1"/>
                <w:szCs w:val="21"/>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8" w:type="dxa"/>
            <w:noWrap w:val="0"/>
            <w:vAlign w:val="center"/>
          </w:tcPr>
          <w:p>
            <w:pPr>
              <w:spacing w:line="500" w:lineRule="exact"/>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10kV预制舱</w:t>
            </w:r>
          </w:p>
        </w:tc>
        <w:tc>
          <w:tcPr>
            <w:tcW w:w="1417" w:type="dxa"/>
            <w:noWrap w:val="0"/>
            <w:vAlign w:val="center"/>
          </w:tcPr>
          <w:p>
            <w:pPr>
              <w:spacing w:line="500" w:lineRule="exact"/>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9个开关柜包含光伏柜</w:t>
            </w:r>
          </w:p>
        </w:tc>
        <w:tc>
          <w:tcPr>
            <w:tcW w:w="992" w:type="dxa"/>
            <w:noWrap w:val="0"/>
            <w:vAlign w:val="center"/>
          </w:tcPr>
          <w:p>
            <w:pPr>
              <w:spacing w:line="500" w:lineRule="exact"/>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10kV</w:t>
            </w:r>
          </w:p>
        </w:tc>
        <w:tc>
          <w:tcPr>
            <w:tcW w:w="4655" w:type="dxa"/>
            <w:noWrap w:val="0"/>
            <w:vAlign w:val="center"/>
          </w:tcPr>
          <w:p>
            <w:pPr>
              <w:spacing w:line="500" w:lineRule="exact"/>
              <w:jc w:val="center"/>
              <w:rPr>
                <w:rFonts w:hint="default" w:ascii="宋体" w:hAnsi="宋体" w:cs="Arial" w:eastAsiaTheme="minorEastAsia"/>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光伏进线柜1个、光伏出线柜1个、储能进线柜1个、储能出线柜1个、风机进线柜1个、风机出线柜1个、分段柜2个、母线PT柜1个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8" w:type="dxa"/>
            <w:noWrap w:val="0"/>
            <w:vAlign w:val="center"/>
          </w:tcPr>
          <w:p>
            <w:pPr>
              <w:spacing w:line="500" w:lineRule="exact"/>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室外继保室</w:t>
            </w:r>
          </w:p>
        </w:tc>
        <w:tc>
          <w:tcPr>
            <w:tcW w:w="1417" w:type="dxa"/>
            <w:noWrap w:val="0"/>
            <w:vAlign w:val="center"/>
          </w:tcPr>
          <w:p>
            <w:pPr>
              <w:spacing w:line="500" w:lineRule="exact"/>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11</w:t>
            </w:r>
            <w:r>
              <w:rPr>
                <w:rFonts w:hint="eastAsia" w:ascii="宋体" w:hAnsi="宋体" w:cs="Arial"/>
                <w:color w:val="000000" w:themeColor="text1"/>
                <w:szCs w:val="21"/>
                <w:highlight w:val="none"/>
                <w14:textFill>
                  <w14:solidFill>
                    <w14:schemeClr w14:val="tx1"/>
                  </w14:solidFill>
                </w14:textFill>
              </w:rPr>
              <w:t>个</w:t>
            </w:r>
          </w:p>
        </w:tc>
        <w:tc>
          <w:tcPr>
            <w:tcW w:w="992" w:type="dxa"/>
            <w:noWrap w:val="0"/>
            <w:vAlign w:val="center"/>
          </w:tcPr>
          <w:p>
            <w:pPr>
              <w:spacing w:line="500" w:lineRule="exact"/>
              <w:jc w:val="center"/>
              <w:rPr>
                <w:rFonts w:hint="eastAsia" w:ascii="宋体" w:hAnsi="宋体" w:cs="Arial"/>
                <w:color w:val="000000" w:themeColor="text1"/>
                <w:szCs w:val="21"/>
                <w:highlight w:val="none"/>
                <w14:textFill>
                  <w14:solidFill>
                    <w14:schemeClr w14:val="tx1"/>
                  </w14:solidFill>
                </w14:textFill>
              </w:rPr>
            </w:pPr>
          </w:p>
        </w:tc>
        <w:tc>
          <w:tcPr>
            <w:tcW w:w="4655" w:type="dxa"/>
            <w:noWrap w:val="0"/>
            <w:vAlign w:val="center"/>
          </w:tcPr>
          <w:p>
            <w:pPr>
              <w:spacing w:line="500" w:lineRule="exact"/>
              <w:jc w:val="center"/>
              <w:rPr>
                <w:rFonts w:hint="eastAsia"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二次屏</w:t>
            </w:r>
            <w:r>
              <w:rPr>
                <w:rFonts w:hint="eastAsia" w:ascii="宋体" w:hAnsi="宋体" w:cs="Arial"/>
                <w:color w:val="000000" w:themeColor="text1"/>
                <w:szCs w:val="21"/>
                <w:highlight w:val="none"/>
                <w:lang w:val="en-US" w:eastAsia="zh-CN"/>
                <w14:textFill>
                  <w14:solidFill>
                    <w14:schemeClr w14:val="tx1"/>
                  </w14:solidFill>
                </w14:textFill>
              </w:rPr>
              <w:t>柜11</w:t>
            </w:r>
            <w:r>
              <w:rPr>
                <w:rFonts w:hint="eastAsia" w:ascii="宋体" w:hAnsi="宋体" w:cs="Arial"/>
                <w:color w:val="000000" w:themeColor="text1"/>
                <w:szCs w:val="21"/>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8" w:type="dxa"/>
            <w:noWrap w:val="0"/>
            <w:vAlign w:val="center"/>
          </w:tcPr>
          <w:p>
            <w:pPr>
              <w:spacing w:line="500" w:lineRule="exact"/>
              <w:jc w:val="center"/>
              <w:rPr>
                <w:rFonts w:hint="eastAsia" w:ascii="宋体" w:hAnsi="宋体" w:cs="Arial"/>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SVG</w:t>
            </w:r>
          </w:p>
        </w:tc>
        <w:tc>
          <w:tcPr>
            <w:tcW w:w="1417" w:type="dxa"/>
            <w:noWrap w:val="0"/>
            <w:vAlign w:val="center"/>
          </w:tcPr>
          <w:p>
            <w:pPr>
              <w:spacing w:line="500" w:lineRule="exact"/>
              <w:jc w:val="center"/>
              <w:rPr>
                <w:rFonts w:hint="default"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1台</w:t>
            </w:r>
          </w:p>
        </w:tc>
        <w:tc>
          <w:tcPr>
            <w:tcW w:w="992" w:type="dxa"/>
            <w:noWrap w:val="0"/>
            <w:vAlign w:val="center"/>
          </w:tcPr>
          <w:p>
            <w:pPr>
              <w:spacing w:line="500" w:lineRule="exact"/>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10kV</w:t>
            </w:r>
          </w:p>
        </w:tc>
        <w:tc>
          <w:tcPr>
            <w:tcW w:w="4655" w:type="dxa"/>
            <w:noWrap w:val="0"/>
            <w:vAlign w:val="center"/>
          </w:tcPr>
          <w:p>
            <w:pPr>
              <w:spacing w:line="500" w:lineRule="exact"/>
              <w:jc w:val="center"/>
              <w:rPr>
                <w:rFonts w:hint="default" w:ascii="宋体" w:hAnsi="宋体" w:eastAsia="仿宋" w:cs="Arial"/>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SVG</w:t>
            </w:r>
            <w:r>
              <w:rPr>
                <w:rFonts w:hint="eastAsia" w:ascii="仿宋" w:hAnsi="仿宋" w:eastAsia="仿宋" w:cs="仿宋"/>
                <w:color w:val="000000" w:themeColor="text1"/>
                <w:sz w:val="24"/>
                <w:szCs w:val="24"/>
                <w:highlight w:val="none"/>
                <w:lang w:val="en-US" w:eastAsia="zh-CN"/>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8" w:type="dxa"/>
            <w:noWrap w:val="0"/>
            <w:vAlign w:val="center"/>
          </w:tcPr>
          <w:p>
            <w:pPr>
              <w:spacing w:line="500" w:lineRule="exact"/>
              <w:jc w:val="center"/>
              <w:rPr>
                <w:rFonts w:hint="eastAsia"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储能PCS</w:t>
            </w:r>
          </w:p>
        </w:tc>
        <w:tc>
          <w:tcPr>
            <w:tcW w:w="1417" w:type="dxa"/>
            <w:noWrap w:val="0"/>
            <w:vAlign w:val="center"/>
          </w:tcPr>
          <w:p>
            <w:pPr>
              <w:spacing w:line="500" w:lineRule="exact"/>
              <w:jc w:val="center"/>
              <w:rPr>
                <w:rFonts w:hint="default"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2组</w:t>
            </w:r>
          </w:p>
        </w:tc>
        <w:tc>
          <w:tcPr>
            <w:tcW w:w="992" w:type="dxa"/>
            <w:noWrap w:val="0"/>
            <w:vAlign w:val="center"/>
          </w:tcPr>
          <w:p>
            <w:pPr>
              <w:spacing w:line="500" w:lineRule="exact"/>
              <w:jc w:val="center"/>
              <w:rPr>
                <w:rFonts w:hint="eastAsia" w:ascii="宋体" w:hAnsi="宋体" w:cs="Arial"/>
                <w:color w:val="000000" w:themeColor="text1"/>
                <w:szCs w:val="21"/>
                <w:highlight w:val="none"/>
                <w:lang w:val="en-US" w:eastAsia="zh-CN"/>
                <w14:textFill>
                  <w14:solidFill>
                    <w14:schemeClr w14:val="tx1"/>
                  </w14:solidFill>
                </w14:textFill>
              </w:rPr>
            </w:pPr>
          </w:p>
        </w:tc>
        <w:tc>
          <w:tcPr>
            <w:tcW w:w="4655" w:type="dxa"/>
            <w:noWrap w:val="0"/>
            <w:vAlign w:val="center"/>
          </w:tcPr>
          <w:p>
            <w:pPr>
              <w:spacing w:line="500" w:lineRule="exact"/>
              <w:jc w:val="center"/>
              <w:rPr>
                <w:rFonts w:hint="eastAsia"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储能PCS 2组（3.45MW/3.7MWh）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78" w:type="dxa"/>
            <w:noWrap w:val="0"/>
            <w:vAlign w:val="center"/>
          </w:tcPr>
          <w:p>
            <w:pPr>
              <w:spacing w:line="500" w:lineRule="exact"/>
              <w:jc w:val="center"/>
              <w:rPr>
                <w:rFonts w:hint="default"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风机集电线路及箱变</w:t>
            </w:r>
          </w:p>
        </w:tc>
        <w:tc>
          <w:tcPr>
            <w:tcW w:w="1417" w:type="dxa"/>
            <w:noWrap w:val="0"/>
            <w:vAlign w:val="center"/>
          </w:tcPr>
          <w:p>
            <w:pPr>
              <w:spacing w:line="500" w:lineRule="exact"/>
              <w:jc w:val="center"/>
              <w:rPr>
                <w:rFonts w:hint="default"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3条集电线路、6台箱变</w:t>
            </w:r>
          </w:p>
        </w:tc>
        <w:tc>
          <w:tcPr>
            <w:tcW w:w="992" w:type="dxa"/>
            <w:noWrap w:val="0"/>
            <w:vAlign w:val="center"/>
          </w:tcPr>
          <w:p>
            <w:pPr>
              <w:spacing w:line="500" w:lineRule="exact"/>
              <w:jc w:val="center"/>
              <w:rPr>
                <w:rFonts w:hint="eastAsia"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10kV</w:t>
            </w:r>
          </w:p>
        </w:tc>
        <w:tc>
          <w:tcPr>
            <w:tcW w:w="4655" w:type="dxa"/>
            <w:noWrap w:val="0"/>
            <w:vAlign w:val="center"/>
          </w:tcPr>
          <w:p>
            <w:pPr>
              <w:spacing w:line="500" w:lineRule="exact"/>
              <w:jc w:val="center"/>
              <w:rPr>
                <w:rFonts w:hint="eastAsia"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集电线路及#1-#6箱变</w:t>
            </w:r>
          </w:p>
        </w:tc>
      </w:tr>
    </w:tbl>
    <w:p>
      <w:pPr>
        <w:pStyle w:val="19"/>
        <w:adjustRightInd w:val="0"/>
        <w:snapToGrid w:val="0"/>
        <w:spacing w:before="0" w:beforeAutospacing="0" w:after="0" w:afterAutospacing="0" w:line="480"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ascii="宋体" w:hAnsi="宋体" w:cs="Arial"/>
          <w:color w:val="000000" w:themeColor="text1"/>
          <w:kern w:val="2"/>
          <w:sz w:val="21"/>
          <w:szCs w:val="21"/>
          <w:highlight w:val="none"/>
          <w14:textFill>
            <w14:solidFill>
              <w14:schemeClr w14:val="tx1"/>
            </w14:solidFill>
          </w14:textFill>
        </w:rPr>
        <w:t>地址：内蒙古鄂尔多斯市伊金霍洛旗江苏工业园区。</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hint="eastAsia" w:ascii="宋体" w:hAnsi="宋体" w:cs="Arial"/>
          <w:color w:val="000000" w:themeColor="text1"/>
          <w:kern w:val="2"/>
          <w:sz w:val="21"/>
          <w:szCs w:val="21"/>
          <w:highlight w:val="none"/>
          <w:lang w:val="en-US" w:eastAsia="zh-CN"/>
          <w14:textFill>
            <w14:solidFill>
              <w14:schemeClr w14:val="tx1"/>
            </w14:solidFill>
          </w14:textFill>
        </w:rPr>
        <w:t>变电站</w:t>
      </w:r>
      <w:r>
        <w:rPr>
          <w:rFonts w:hint="eastAsia" w:ascii="宋体" w:hAnsi="宋体" w:cs="Arial"/>
          <w:color w:val="000000" w:themeColor="text1"/>
          <w:kern w:val="2"/>
          <w:sz w:val="21"/>
          <w:szCs w:val="21"/>
          <w:highlight w:val="none"/>
          <w14:textFill>
            <w14:solidFill>
              <w14:schemeClr w14:val="tx1"/>
            </w14:solidFill>
          </w14:textFill>
        </w:rPr>
        <w:t>代运维工作要求</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.1</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负责24小时实时远程监控，如变电站的电力参数、视频、报警、门禁等。</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.2</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负责现场每班定时巡视一次（白、夜班各一次），并有表单记录，如遇特殊情况（恶劣天气、负荷过高及其他特殊用电需求时）增加巡视频次；</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.3</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负责每月提供一份变电站巡检月度报表，报表内容包含：变电站设备运行情况，变电站每周用电量等；</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.4</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负责对变电站资料进行整理、归纳，建立档案等；</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.5</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负责按照国家标准执行高低压设备的定期预试，详情见预试清单，根据实际预试项目结算；</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.6</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负责安全工器具定期预试按国家标准执行；</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.7</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负责全天候检修、抢修(人工/工具免费、修复后试验免费)，材料费用按市场价格另行结算（材料也可</w:t>
      </w:r>
      <w:r>
        <w:rPr>
          <w:rFonts w:hint="eastAsia" w:cs="Arial"/>
          <w:color w:val="000000" w:themeColor="text1"/>
          <w:kern w:val="2"/>
          <w:sz w:val="21"/>
          <w:szCs w:val="21"/>
          <w:highlight w:val="none"/>
          <w:lang w:eastAsia="zh-CN"/>
          <w14:textFill>
            <w14:solidFill>
              <w14:schemeClr w14:val="tx1"/>
            </w14:solidFill>
          </w14:textFill>
        </w:rPr>
        <w:t>招标方</w:t>
      </w:r>
      <w:r>
        <w:rPr>
          <w:rFonts w:hint="eastAsia" w:ascii="宋体" w:hAnsi="宋体" w:cs="Arial"/>
          <w:color w:val="000000" w:themeColor="text1"/>
          <w:kern w:val="2"/>
          <w:sz w:val="21"/>
          <w:szCs w:val="21"/>
          <w:highlight w:val="none"/>
          <w14:textFill>
            <w14:solidFill>
              <w14:schemeClr w14:val="tx1"/>
            </w14:solidFill>
          </w14:textFill>
        </w:rPr>
        <w:t>自备）；</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.8</w:t>
      </w:r>
      <w:r>
        <w:rPr>
          <w:rFonts w:hint="eastAsia" w:ascii="宋体" w:hAnsi="宋体" w:cs="Arial"/>
          <w:color w:val="000000" w:themeColor="text1"/>
          <w:kern w:val="2"/>
          <w:sz w:val="21"/>
          <w:szCs w:val="21"/>
          <w:highlight w:val="none"/>
          <w14:textFill>
            <w14:solidFill>
              <w14:schemeClr w14:val="tx1"/>
            </w14:solidFill>
          </w14:textFill>
        </w:rPr>
        <w:t>制定相关设备防灾等工作应急预案；</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.9</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给予</w:t>
      </w:r>
      <w:r>
        <w:rPr>
          <w:rFonts w:hint="eastAsia" w:cs="Arial"/>
          <w:color w:val="000000" w:themeColor="text1"/>
          <w:kern w:val="2"/>
          <w:sz w:val="21"/>
          <w:szCs w:val="21"/>
          <w:highlight w:val="none"/>
          <w:lang w:eastAsia="zh-CN"/>
          <w14:textFill>
            <w14:solidFill>
              <w14:schemeClr w14:val="tx1"/>
            </w14:solidFill>
          </w14:textFill>
        </w:rPr>
        <w:t>招标方</w:t>
      </w:r>
      <w:r>
        <w:rPr>
          <w:rFonts w:hint="eastAsia" w:ascii="宋体" w:hAnsi="宋体" w:cs="Arial"/>
          <w:color w:val="000000" w:themeColor="text1"/>
          <w:kern w:val="2"/>
          <w:sz w:val="21"/>
          <w:szCs w:val="21"/>
          <w:highlight w:val="none"/>
          <w14:textFill>
            <w14:solidFill>
              <w14:schemeClr w14:val="tx1"/>
            </w14:solidFill>
          </w14:textFill>
        </w:rPr>
        <w:t>用电方面的专业意见等技术支持；</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.10</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接受</w:t>
      </w:r>
      <w:r>
        <w:rPr>
          <w:rFonts w:hint="eastAsia" w:cs="Arial"/>
          <w:color w:val="000000" w:themeColor="text1"/>
          <w:kern w:val="2"/>
          <w:sz w:val="21"/>
          <w:szCs w:val="21"/>
          <w:highlight w:val="none"/>
          <w:lang w:eastAsia="zh-CN"/>
          <w14:textFill>
            <w14:solidFill>
              <w14:schemeClr w14:val="tx1"/>
            </w14:solidFill>
          </w14:textFill>
        </w:rPr>
        <w:t>招标方</w:t>
      </w:r>
      <w:r>
        <w:rPr>
          <w:rFonts w:hint="eastAsia" w:ascii="宋体" w:hAnsi="宋体" w:cs="Arial"/>
          <w:color w:val="000000" w:themeColor="text1"/>
          <w:kern w:val="2"/>
          <w:sz w:val="21"/>
          <w:szCs w:val="21"/>
          <w:highlight w:val="none"/>
          <w14:textFill>
            <w14:solidFill>
              <w14:schemeClr w14:val="tx1"/>
            </w14:solidFill>
          </w14:textFill>
        </w:rPr>
        <w:t>厂区内符合安全、规范等企业标准的管理；</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.11</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负责服务期间与调度、电业局等政府相关部门的对接、问题接收和整改、以及其它满足电站合规的业务办理；</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.12</w:t>
      </w:r>
      <w:r>
        <w:rPr>
          <w:rFonts w:hint="eastAsia" w:ascii="宋体" w:hAnsi="宋体" w:cs="Arial"/>
          <w:color w:val="000000" w:themeColor="text1"/>
          <w:kern w:val="2"/>
          <w:sz w:val="21"/>
          <w:szCs w:val="21"/>
          <w:highlight w:val="none"/>
          <w14:textFill>
            <w14:solidFill>
              <w14:schemeClr w14:val="tx1"/>
            </w14:solidFill>
          </w14:textFill>
        </w:rPr>
        <w:t>备品备件：</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负责统计所需备品备件，可由</w:t>
      </w:r>
      <w:r>
        <w:rPr>
          <w:rFonts w:hint="eastAsia" w:cs="Arial"/>
          <w:color w:val="000000" w:themeColor="text1"/>
          <w:kern w:val="2"/>
          <w:sz w:val="21"/>
          <w:szCs w:val="21"/>
          <w:highlight w:val="none"/>
          <w:lang w:eastAsia="zh-CN"/>
          <w14:textFill>
            <w14:solidFill>
              <w14:schemeClr w14:val="tx1"/>
            </w14:solidFill>
          </w14:textFill>
        </w:rPr>
        <w:t>招标方</w:t>
      </w:r>
      <w:r>
        <w:rPr>
          <w:rFonts w:hint="eastAsia" w:ascii="宋体" w:hAnsi="宋体" w:cs="Arial"/>
          <w:color w:val="000000" w:themeColor="text1"/>
          <w:kern w:val="2"/>
          <w:sz w:val="21"/>
          <w:szCs w:val="21"/>
          <w:highlight w:val="none"/>
          <w14:textFill>
            <w14:solidFill>
              <w14:schemeClr w14:val="tx1"/>
            </w14:solidFill>
          </w14:textFill>
        </w:rPr>
        <w:t>购买；</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.13</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负责管理区域现场5S、目视化标识；并且符合</w:t>
      </w:r>
      <w:r>
        <w:rPr>
          <w:rFonts w:hint="eastAsia" w:cs="Arial"/>
          <w:color w:val="000000" w:themeColor="text1"/>
          <w:kern w:val="2"/>
          <w:sz w:val="21"/>
          <w:szCs w:val="21"/>
          <w:highlight w:val="none"/>
          <w:lang w:eastAsia="zh-CN"/>
          <w14:textFill>
            <w14:solidFill>
              <w14:schemeClr w14:val="tx1"/>
            </w14:solidFill>
          </w14:textFill>
        </w:rPr>
        <w:t>招标方</w:t>
      </w:r>
      <w:r>
        <w:rPr>
          <w:rFonts w:hint="eastAsia" w:ascii="宋体" w:hAnsi="宋体" w:cs="Arial"/>
          <w:color w:val="000000" w:themeColor="text1"/>
          <w:kern w:val="2"/>
          <w:sz w:val="21"/>
          <w:szCs w:val="21"/>
          <w:highlight w:val="none"/>
          <w14:textFill>
            <w14:solidFill>
              <w14:schemeClr w14:val="tx1"/>
            </w14:solidFill>
          </w14:textFill>
        </w:rPr>
        <w:t>公司统一要求；</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.14</w:t>
      </w:r>
      <w:r>
        <w:rPr>
          <w:rFonts w:hint="eastAsia" w:ascii="宋体" w:hAnsi="宋体" w:cs="Arial"/>
          <w:color w:val="000000" w:themeColor="text1"/>
          <w:kern w:val="2"/>
          <w:sz w:val="21"/>
          <w:szCs w:val="21"/>
          <w:highlight w:val="none"/>
          <w14:textFill>
            <w14:solidFill>
              <w14:schemeClr w14:val="tx1"/>
            </w14:solidFill>
          </w14:textFill>
        </w:rPr>
        <w:t>变电运维站站长、值班长、值班员、需经</w:t>
      </w:r>
      <w:r>
        <w:rPr>
          <w:rFonts w:hint="eastAsia" w:cs="Arial"/>
          <w:color w:val="000000" w:themeColor="text1"/>
          <w:kern w:val="2"/>
          <w:sz w:val="21"/>
          <w:szCs w:val="21"/>
          <w:highlight w:val="none"/>
          <w:lang w:eastAsia="zh-CN"/>
          <w14:textFill>
            <w14:solidFill>
              <w14:schemeClr w14:val="tx1"/>
            </w14:solidFill>
          </w14:textFill>
        </w:rPr>
        <w:t>招标方</w:t>
      </w:r>
      <w:r>
        <w:rPr>
          <w:rFonts w:hint="eastAsia" w:ascii="宋体" w:hAnsi="宋体" w:cs="Arial"/>
          <w:color w:val="000000" w:themeColor="text1"/>
          <w:kern w:val="2"/>
          <w:sz w:val="21"/>
          <w:szCs w:val="21"/>
          <w:highlight w:val="none"/>
          <w14:textFill>
            <w14:solidFill>
              <w14:schemeClr w14:val="tx1"/>
            </w14:solidFill>
          </w14:textFill>
        </w:rPr>
        <w:t>面试审核通过后才可录用。实际工作过程中，如发现</w:t>
      </w:r>
      <w:r>
        <w:rPr>
          <w:rFonts w:hint="eastAsia" w:cs="Arial"/>
          <w:color w:val="000000" w:themeColor="text1"/>
          <w:kern w:val="2"/>
          <w:sz w:val="21"/>
          <w:szCs w:val="21"/>
          <w:highlight w:val="none"/>
          <w:lang w:eastAsia="zh-CN"/>
          <w14:textFill>
            <w14:solidFill>
              <w14:schemeClr w14:val="tx1"/>
            </w14:solidFill>
          </w14:textFill>
        </w:rPr>
        <w:t>采购方</w:t>
      </w:r>
      <w:r>
        <w:rPr>
          <w:rFonts w:hint="eastAsia" w:ascii="宋体" w:hAnsi="宋体" w:cs="Arial"/>
          <w:color w:val="000000" w:themeColor="text1"/>
          <w:kern w:val="2"/>
          <w:sz w:val="21"/>
          <w:szCs w:val="21"/>
          <w:highlight w:val="none"/>
          <w14:textFill>
            <w14:solidFill>
              <w14:schemeClr w14:val="tx1"/>
            </w14:solidFill>
          </w14:textFill>
        </w:rPr>
        <w:t>人员不能满足岗位需求，</w:t>
      </w:r>
      <w:r>
        <w:rPr>
          <w:rFonts w:hint="eastAsia" w:cs="Arial"/>
          <w:color w:val="000000" w:themeColor="text1"/>
          <w:kern w:val="2"/>
          <w:sz w:val="21"/>
          <w:szCs w:val="21"/>
          <w:highlight w:val="none"/>
          <w:lang w:eastAsia="zh-CN"/>
          <w14:textFill>
            <w14:solidFill>
              <w14:schemeClr w14:val="tx1"/>
            </w14:solidFill>
          </w14:textFill>
        </w:rPr>
        <w:t>招标方</w:t>
      </w:r>
      <w:r>
        <w:rPr>
          <w:rFonts w:hint="eastAsia" w:ascii="宋体" w:hAnsi="宋体" w:cs="Arial"/>
          <w:color w:val="000000" w:themeColor="text1"/>
          <w:kern w:val="2"/>
          <w:sz w:val="21"/>
          <w:szCs w:val="21"/>
          <w:highlight w:val="none"/>
          <w14:textFill>
            <w14:solidFill>
              <w14:schemeClr w14:val="tx1"/>
            </w14:solidFill>
          </w14:textFill>
        </w:rPr>
        <w:t>有权要求限期更换；</w:t>
      </w:r>
    </w:p>
    <w:p>
      <w:pPr>
        <w:pStyle w:val="19"/>
        <w:adjustRightInd w:val="0"/>
        <w:snapToGrid w:val="0"/>
        <w:spacing w:before="0" w:beforeAutospacing="0" w:after="0" w:afterAutospacing="0" w:line="276" w:lineRule="auto"/>
        <w:jc w:val="both"/>
        <w:rPr>
          <w:rFonts w:ascii="宋体" w:hAnsi="宋体" w:cs="Arial"/>
          <w:color w:val="000000" w:themeColor="text1"/>
          <w:kern w:val="2"/>
          <w:sz w:val="21"/>
          <w:szCs w:val="21"/>
          <w:highlight w:val="none"/>
          <w14:textFill>
            <w14:solidFill>
              <w14:schemeClr w14:val="tx1"/>
            </w14:solidFill>
          </w14:textFill>
        </w:rPr>
      </w:pPr>
      <w:r>
        <w:rPr>
          <w:rFonts w:hint="eastAsia" w:cs="Arial"/>
          <w:color w:val="000000" w:themeColor="text1"/>
          <w:kern w:val="2"/>
          <w:sz w:val="21"/>
          <w:szCs w:val="21"/>
          <w:highlight w:val="none"/>
          <w:lang w:val="en-US" w:eastAsia="zh-CN"/>
          <w14:textFill>
            <w14:solidFill>
              <w14:schemeClr w14:val="tx1"/>
            </w14:solidFill>
          </w14:textFill>
        </w:rPr>
        <w:t>5.1</w:t>
      </w:r>
      <w:r>
        <w:rPr>
          <w:rFonts w:ascii="宋体" w:hAnsi="宋体" w:cs="Arial"/>
          <w:color w:val="000000" w:themeColor="text1"/>
          <w:kern w:val="2"/>
          <w:sz w:val="21"/>
          <w:szCs w:val="21"/>
          <w:highlight w:val="none"/>
          <w14:textFill>
            <w14:solidFill>
              <w14:schemeClr w14:val="tx1"/>
            </w14:solidFill>
          </w14:textFill>
        </w:rPr>
        <w:t>.15</w:t>
      </w:r>
      <w:r>
        <w:rPr>
          <w:rFonts w:hint="eastAsia" w:ascii="宋体" w:hAnsi="宋体" w:cs="Arial"/>
          <w:color w:val="000000" w:themeColor="text1"/>
          <w:kern w:val="2"/>
          <w:sz w:val="21"/>
          <w:szCs w:val="21"/>
          <w:highlight w:val="none"/>
          <w14:textFill>
            <w14:solidFill>
              <w14:schemeClr w14:val="tx1"/>
            </w14:solidFill>
          </w14:textFill>
        </w:rPr>
        <w:t>服务合同：1年+1年形式，如上年度平分≥80分，且得到</w:t>
      </w:r>
      <w:r>
        <w:rPr>
          <w:rFonts w:hint="eastAsia" w:cs="Arial"/>
          <w:color w:val="000000" w:themeColor="text1"/>
          <w:kern w:val="2"/>
          <w:sz w:val="21"/>
          <w:szCs w:val="21"/>
          <w:highlight w:val="none"/>
          <w:lang w:eastAsia="zh-CN"/>
          <w14:textFill>
            <w14:solidFill>
              <w14:schemeClr w14:val="tx1"/>
            </w14:solidFill>
          </w14:textFill>
        </w:rPr>
        <w:t>招标方</w:t>
      </w:r>
      <w:r>
        <w:rPr>
          <w:rFonts w:hint="eastAsia" w:ascii="宋体" w:hAnsi="宋体" w:cs="Arial"/>
          <w:color w:val="000000" w:themeColor="text1"/>
          <w:kern w:val="2"/>
          <w:sz w:val="21"/>
          <w:szCs w:val="21"/>
          <w:highlight w:val="none"/>
          <w14:textFill>
            <w14:solidFill>
              <w14:schemeClr w14:val="tx1"/>
            </w14:solidFill>
          </w14:textFill>
        </w:rPr>
        <w:t>认可，得到邮件确认后，自动续约一年；</w:t>
      </w:r>
      <w:r>
        <w:rPr>
          <w:rFonts w:ascii="宋体" w:hAnsi="宋体" w:cs="Arial"/>
          <w:color w:val="000000" w:themeColor="text1"/>
          <w:kern w:val="2"/>
          <w:sz w:val="21"/>
          <w:szCs w:val="21"/>
          <w:highlight w:val="none"/>
          <w14:textFill>
            <w14:solidFill>
              <w14:schemeClr w14:val="tx1"/>
            </w14:solidFill>
          </w14:textFill>
        </w:rPr>
        <w:t xml:space="preserve"> </w:t>
      </w:r>
    </w:p>
    <w:p>
      <w:pPr>
        <w:spacing w:line="27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5.1</w:t>
      </w:r>
      <w:r>
        <w:rPr>
          <w:rFonts w:ascii="宋体" w:hAnsi="宋体" w:cs="宋体"/>
          <w:color w:val="000000" w:themeColor="text1"/>
          <w:szCs w:val="21"/>
          <w:highlight w:val="none"/>
          <w14:textFill>
            <w14:solidFill>
              <w14:schemeClr w14:val="tx1"/>
            </w14:solidFill>
          </w14:textFill>
        </w:rPr>
        <w:t>.16</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应负责对变电站按电业的设备运行管理标准进行规范管理，确保变电站的正常、安全运行，并保持站内环境整洁。</w:t>
      </w:r>
    </w:p>
    <w:p>
      <w:pPr>
        <w:spacing w:line="27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5.1</w:t>
      </w:r>
      <w:r>
        <w:rPr>
          <w:rFonts w:ascii="宋体" w:hAnsi="宋体" w:cs="宋体"/>
          <w:color w:val="000000" w:themeColor="text1"/>
          <w:szCs w:val="21"/>
          <w:highlight w:val="none"/>
          <w14:textFill>
            <w14:solidFill>
              <w14:schemeClr w14:val="tx1"/>
            </w14:solidFill>
          </w14:textFill>
        </w:rPr>
        <w:t>.17</w:t>
      </w:r>
      <w:r>
        <w:rPr>
          <w:rFonts w:hint="eastAsia" w:ascii="宋体" w:hAnsi="宋体" w:cs="宋体"/>
          <w:color w:val="000000" w:themeColor="text1"/>
          <w:szCs w:val="21"/>
          <w:highlight w:val="none"/>
          <w14:textFill>
            <w14:solidFill>
              <w14:schemeClr w14:val="tx1"/>
            </w14:solidFill>
          </w14:textFill>
        </w:rPr>
        <w:t>在合同期内,</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按国家有关规定对所管理设备建立预防性电气试验计划和维护计划。</w:t>
      </w:r>
    </w:p>
    <w:p>
      <w:pPr>
        <w:spacing w:line="27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5.1</w:t>
      </w:r>
      <w:r>
        <w:rPr>
          <w:rFonts w:ascii="宋体" w:hAnsi="宋体" w:cs="宋体"/>
          <w:color w:val="000000" w:themeColor="text1"/>
          <w:szCs w:val="21"/>
          <w:highlight w:val="none"/>
          <w14:textFill>
            <w14:solidFill>
              <w14:schemeClr w14:val="tx1"/>
            </w14:solidFill>
          </w14:textFill>
        </w:rPr>
        <w:t>.18</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在监控或巡视中发现的设备缺陷和事故隐患应及时通知</w:t>
      </w:r>
      <w:r>
        <w:rPr>
          <w:rFonts w:hint="eastAsia" w:ascii="宋体" w:hAnsi="宋体" w:cs="宋体"/>
          <w:color w:val="000000" w:themeColor="text1"/>
          <w:szCs w:val="21"/>
          <w:highlight w:val="none"/>
          <w:lang w:eastAsia="zh-CN"/>
          <w14:textFill>
            <w14:solidFill>
              <w14:schemeClr w14:val="tx1"/>
            </w14:solidFill>
          </w14:textFill>
        </w:rPr>
        <w:t>招标方</w:t>
      </w:r>
      <w:r>
        <w:rPr>
          <w:rFonts w:hint="eastAsia" w:ascii="宋体" w:hAnsi="宋体" w:cs="宋体"/>
          <w:color w:val="000000" w:themeColor="text1"/>
          <w:szCs w:val="21"/>
          <w:highlight w:val="none"/>
          <w14:textFill>
            <w14:solidFill>
              <w14:schemeClr w14:val="tx1"/>
            </w14:solidFill>
          </w14:textFill>
        </w:rPr>
        <w:t>,书面提出处理建议，由</w:t>
      </w:r>
      <w:r>
        <w:rPr>
          <w:rFonts w:hint="eastAsia" w:ascii="宋体" w:hAnsi="宋体" w:cs="宋体"/>
          <w:color w:val="000000" w:themeColor="text1"/>
          <w:szCs w:val="21"/>
          <w:highlight w:val="none"/>
          <w:lang w:eastAsia="zh-CN"/>
          <w14:textFill>
            <w14:solidFill>
              <w14:schemeClr w14:val="tx1"/>
            </w14:solidFill>
          </w14:textFill>
        </w:rPr>
        <w:t>招标方</w:t>
      </w:r>
      <w:r>
        <w:rPr>
          <w:rFonts w:hint="eastAsia" w:ascii="宋体" w:hAnsi="宋体" w:cs="宋体"/>
          <w:color w:val="000000" w:themeColor="text1"/>
          <w:szCs w:val="21"/>
          <w:highlight w:val="none"/>
          <w14:textFill>
            <w14:solidFill>
              <w14:schemeClr w14:val="tx1"/>
            </w14:solidFill>
          </w14:textFill>
        </w:rPr>
        <w:t>采取措施进行消缺排除，</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协助配合并做好有关记录。如</w:t>
      </w:r>
      <w:r>
        <w:rPr>
          <w:rFonts w:hint="eastAsia" w:ascii="宋体" w:hAnsi="宋体" w:cs="宋体"/>
          <w:color w:val="000000" w:themeColor="text1"/>
          <w:szCs w:val="21"/>
          <w:highlight w:val="none"/>
          <w:lang w:eastAsia="zh-CN"/>
          <w14:textFill>
            <w14:solidFill>
              <w14:schemeClr w14:val="tx1"/>
            </w14:solidFill>
          </w14:textFill>
        </w:rPr>
        <w:t>招标方</w:t>
      </w:r>
      <w:r>
        <w:rPr>
          <w:rFonts w:hint="eastAsia" w:ascii="宋体" w:hAnsi="宋体" w:cs="宋体"/>
          <w:color w:val="000000" w:themeColor="text1"/>
          <w:szCs w:val="21"/>
          <w:highlight w:val="none"/>
          <w14:textFill>
            <w14:solidFill>
              <w14:schemeClr w14:val="tx1"/>
            </w14:solidFill>
          </w14:textFill>
        </w:rPr>
        <w:t>委托</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对维护设备进行消缺排除，双方需事先签定补充委托协议，</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可按实际消耗的材料向</w:t>
      </w:r>
      <w:r>
        <w:rPr>
          <w:rFonts w:hint="eastAsia" w:ascii="宋体" w:hAnsi="宋体" w:cs="宋体"/>
          <w:color w:val="000000" w:themeColor="text1"/>
          <w:szCs w:val="21"/>
          <w:highlight w:val="none"/>
          <w:lang w:eastAsia="zh-CN"/>
          <w14:textFill>
            <w14:solidFill>
              <w14:schemeClr w14:val="tx1"/>
            </w14:solidFill>
          </w14:textFill>
        </w:rPr>
        <w:t>招标方</w:t>
      </w:r>
      <w:r>
        <w:rPr>
          <w:rFonts w:hint="eastAsia" w:ascii="宋体" w:hAnsi="宋体" w:cs="宋体"/>
          <w:color w:val="000000" w:themeColor="text1"/>
          <w:szCs w:val="21"/>
          <w:highlight w:val="none"/>
          <w14:textFill>
            <w14:solidFill>
              <w14:schemeClr w14:val="tx1"/>
            </w14:solidFill>
          </w14:textFill>
        </w:rPr>
        <w:t>进行结算，人工免费。</w:t>
      </w:r>
    </w:p>
    <w:p>
      <w:pPr>
        <w:spacing w:line="276"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5.1</w:t>
      </w:r>
      <w:r>
        <w:rPr>
          <w:rFonts w:ascii="宋体" w:hAnsi="宋体" w:cs="宋体"/>
          <w:color w:val="000000" w:themeColor="text1"/>
          <w:szCs w:val="21"/>
          <w:highlight w:val="none"/>
          <w14:textFill>
            <w14:solidFill>
              <w14:schemeClr w14:val="tx1"/>
            </w14:solidFill>
          </w14:textFill>
        </w:rPr>
        <w:t>.19</w:t>
      </w:r>
      <w:r>
        <w:rPr>
          <w:rFonts w:hint="eastAsia" w:ascii="宋体" w:hAnsi="宋体" w:cs="宋体"/>
          <w:color w:val="000000" w:themeColor="text1"/>
          <w:szCs w:val="21"/>
          <w:highlight w:val="none"/>
          <w14:textFill>
            <w14:solidFill>
              <w14:schemeClr w14:val="tx1"/>
            </w14:solidFill>
          </w14:textFill>
        </w:rPr>
        <w:t>变电站在运行中如发生事故，</w:t>
      </w:r>
      <w:r>
        <w:rPr>
          <w:rFonts w:hint="eastAsia" w:ascii="宋体" w:hAnsi="宋体" w:cs="宋体"/>
          <w:color w:val="000000" w:themeColor="text1"/>
          <w:szCs w:val="21"/>
          <w:highlight w:val="none"/>
          <w:lang w:eastAsia="zh-CN"/>
          <w14:textFill>
            <w14:solidFill>
              <w14:schemeClr w14:val="tx1"/>
            </w14:solidFill>
          </w14:textFill>
        </w:rPr>
        <w:t>招标方</w:t>
      </w:r>
      <w:r>
        <w:rPr>
          <w:rFonts w:hint="eastAsia" w:ascii="宋体" w:hAnsi="宋体" w:cs="宋体"/>
          <w:color w:val="000000" w:themeColor="text1"/>
          <w:szCs w:val="21"/>
          <w:highlight w:val="none"/>
          <w14:textFill>
            <w14:solidFill>
              <w14:schemeClr w14:val="tx1"/>
            </w14:solidFill>
          </w14:textFill>
        </w:rPr>
        <w:t>应及时通知</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协助</w:t>
      </w:r>
      <w:r>
        <w:rPr>
          <w:rFonts w:hint="eastAsia" w:ascii="宋体" w:hAnsi="宋体" w:cs="宋体"/>
          <w:color w:val="000000" w:themeColor="text1"/>
          <w:szCs w:val="21"/>
          <w:highlight w:val="none"/>
          <w:lang w:eastAsia="zh-CN"/>
          <w14:textFill>
            <w14:solidFill>
              <w14:schemeClr w14:val="tx1"/>
            </w14:solidFill>
          </w14:textFill>
        </w:rPr>
        <w:t>招标方</w:t>
      </w:r>
      <w:r>
        <w:rPr>
          <w:rFonts w:hint="eastAsia" w:ascii="宋体" w:hAnsi="宋体" w:cs="宋体"/>
          <w:color w:val="000000" w:themeColor="text1"/>
          <w:szCs w:val="21"/>
          <w:highlight w:val="none"/>
          <w14:textFill>
            <w14:solidFill>
              <w14:schemeClr w14:val="tx1"/>
            </w14:solidFill>
          </w14:textFill>
        </w:rPr>
        <w:t>处理事故，并做好事故处理记录。由非</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管理过失原因造成的设备故障处理，</w:t>
      </w:r>
      <w:r>
        <w:rPr>
          <w:rFonts w:hint="eastAsia" w:ascii="宋体" w:hAnsi="宋体" w:cs="宋体"/>
          <w:color w:val="000000" w:themeColor="text1"/>
          <w:szCs w:val="21"/>
          <w:highlight w:val="none"/>
          <w:lang w:eastAsia="zh-CN"/>
          <w14:textFill>
            <w14:solidFill>
              <w14:schemeClr w14:val="tx1"/>
            </w14:solidFill>
          </w14:textFill>
        </w:rPr>
        <w:t>招标方</w:t>
      </w:r>
      <w:r>
        <w:rPr>
          <w:rFonts w:hint="eastAsia" w:ascii="宋体" w:hAnsi="宋体" w:cs="宋体"/>
          <w:color w:val="000000" w:themeColor="text1"/>
          <w:szCs w:val="21"/>
          <w:highlight w:val="none"/>
          <w14:textFill>
            <w14:solidFill>
              <w14:schemeClr w14:val="tx1"/>
            </w14:solidFill>
          </w14:textFill>
        </w:rPr>
        <w:t>可委托</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处理事故，双方事先需签定委托协议，</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可按实际消耗的材料向</w:t>
      </w:r>
      <w:r>
        <w:rPr>
          <w:rFonts w:hint="eastAsia" w:ascii="宋体" w:hAnsi="宋体" w:cs="宋体"/>
          <w:color w:val="000000" w:themeColor="text1"/>
          <w:szCs w:val="21"/>
          <w:highlight w:val="none"/>
          <w:lang w:eastAsia="zh-CN"/>
          <w14:textFill>
            <w14:solidFill>
              <w14:schemeClr w14:val="tx1"/>
            </w14:solidFill>
          </w14:textFill>
        </w:rPr>
        <w:t>招标方</w:t>
      </w:r>
      <w:r>
        <w:rPr>
          <w:rFonts w:hint="eastAsia" w:ascii="宋体" w:hAnsi="宋体" w:cs="宋体"/>
          <w:color w:val="000000" w:themeColor="text1"/>
          <w:szCs w:val="21"/>
          <w:highlight w:val="none"/>
          <w14:textFill>
            <w14:solidFill>
              <w14:schemeClr w14:val="tx1"/>
            </w14:solidFill>
          </w14:textFill>
        </w:rPr>
        <w:t>进行结算。由</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操作过失原因造成的，经第三方鉴定确认的</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应及时处理事故、负责修复，做好记录，修复费用由</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承担。</w:t>
      </w:r>
    </w:p>
    <w:p>
      <w:pPr>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5.1</w:t>
      </w:r>
      <w:r>
        <w:rPr>
          <w:rFonts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eastAsia="zh-CN"/>
          <w14:textFill>
            <w14:solidFill>
              <w14:schemeClr w14:val="tx1"/>
            </w14:solidFill>
          </w14:textFill>
        </w:rPr>
        <w:t>采购方</w:t>
      </w:r>
      <w:r>
        <w:rPr>
          <w:rFonts w:hint="eastAsia" w:ascii="宋体" w:hAnsi="宋体" w:cs="宋体"/>
          <w:color w:val="000000" w:themeColor="text1"/>
          <w:szCs w:val="21"/>
          <w:highlight w:val="none"/>
          <w14:textFill>
            <w14:solidFill>
              <w14:schemeClr w14:val="tx1"/>
            </w14:solidFill>
          </w14:textFill>
        </w:rPr>
        <w:t>的管理内容及标准均能符合国家相关职能部门（供电部门）的要求。</w:t>
      </w:r>
    </w:p>
    <w:p>
      <w:pPr>
        <w:pStyle w:val="22"/>
        <w:ind w:firstLine="0" w:firstLineChars="0"/>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5.1</w:t>
      </w:r>
      <w:r>
        <w:rPr>
          <w:rFonts w:ascii="宋体" w:hAnsi="宋体" w:cs="宋体"/>
          <w:color w:val="000000" w:themeColor="text1"/>
          <w:szCs w:val="21"/>
          <w:highlight w:val="none"/>
          <w14:textFill>
            <w14:solidFill>
              <w14:schemeClr w14:val="tx1"/>
            </w14:solidFill>
          </w14:textFill>
        </w:rPr>
        <w:t>.21</w:t>
      </w:r>
      <w:r>
        <w:rPr>
          <w:rFonts w:hint="eastAsia"/>
          <w:color w:val="000000" w:themeColor="text1"/>
          <w:highlight w:val="none"/>
          <w14:textFill>
            <w14:solidFill>
              <w14:schemeClr w14:val="tx1"/>
            </w14:solidFill>
          </w14:textFill>
        </w:rPr>
        <w:t>电缆井内定期检查、清洁，电缆接头检查。</w:t>
      </w:r>
    </w:p>
    <w:p>
      <w:pPr>
        <w:pStyle w:val="19"/>
        <w:adjustRightInd w:val="0"/>
        <w:snapToGrid w:val="0"/>
        <w:spacing w:before="0" w:beforeAutospacing="0" w:after="0" w:afterAutospacing="0" w:line="276" w:lineRule="auto"/>
        <w:jc w:val="both"/>
        <w:rPr>
          <w:rFonts w:hint="eastAsia" w:ascii="宋体" w:hAnsi="宋体" w:cs="宋体"/>
          <w:color w:val="000000" w:themeColor="text1"/>
          <w:kern w:val="2"/>
          <w:sz w:val="21"/>
          <w:szCs w:val="21"/>
          <w:highlight w:val="none"/>
          <w14:textFill>
            <w14:solidFill>
              <w14:schemeClr w14:val="tx1"/>
            </w14:solidFill>
          </w14:textFill>
        </w:rPr>
      </w:pPr>
      <w:r>
        <w:rPr>
          <w:rFonts w:hint="eastAsia" w:cs="宋体"/>
          <w:color w:val="000000" w:themeColor="text1"/>
          <w:kern w:val="2"/>
          <w:sz w:val="21"/>
          <w:szCs w:val="21"/>
          <w:highlight w:val="none"/>
          <w:lang w:val="en-US" w:eastAsia="zh-CN"/>
          <w14:textFill>
            <w14:solidFill>
              <w14:schemeClr w14:val="tx1"/>
            </w14:solidFill>
          </w14:textFill>
        </w:rPr>
        <w:t>5.1</w:t>
      </w:r>
      <w:r>
        <w:rPr>
          <w:rFonts w:ascii="宋体" w:hAnsi="宋体" w:cs="宋体"/>
          <w:color w:val="000000" w:themeColor="text1"/>
          <w:kern w:val="2"/>
          <w:sz w:val="21"/>
          <w:szCs w:val="21"/>
          <w:highlight w:val="none"/>
          <w14:textFill>
            <w14:solidFill>
              <w14:schemeClr w14:val="tx1"/>
            </w14:solidFill>
          </w14:textFill>
        </w:rPr>
        <w:t>.22</w:t>
      </w:r>
      <w:r>
        <w:rPr>
          <w:rFonts w:hint="eastAsia" w:ascii="宋体" w:hAnsi="宋体" w:cs="宋体"/>
          <w:color w:val="000000" w:themeColor="text1"/>
          <w:kern w:val="2"/>
          <w:sz w:val="21"/>
          <w:szCs w:val="21"/>
          <w:highlight w:val="none"/>
          <w14:textFill>
            <w14:solidFill>
              <w14:schemeClr w14:val="tx1"/>
            </w14:solidFill>
          </w14:textFill>
        </w:rPr>
        <w:t>.由</w:t>
      </w:r>
      <w:r>
        <w:rPr>
          <w:rFonts w:hint="eastAsia" w:cs="宋体"/>
          <w:color w:val="000000" w:themeColor="text1"/>
          <w:kern w:val="2"/>
          <w:sz w:val="21"/>
          <w:szCs w:val="21"/>
          <w:highlight w:val="none"/>
          <w:lang w:eastAsia="zh-CN"/>
          <w14:textFill>
            <w14:solidFill>
              <w14:schemeClr w14:val="tx1"/>
            </w14:solidFill>
          </w14:textFill>
        </w:rPr>
        <w:t>采购方</w:t>
      </w:r>
      <w:r>
        <w:rPr>
          <w:rFonts w:hint="eastAsia" w:ascii="宋体" w:hAnsi="宋体" w:cs="宋体"/>
          <w:color w:val="000000" w:themeColor="text1"/>
          <w:kern w:val="2"/>
          <w:sz w:val="21"/>
          <w:szCs w:val="21"/>
          <w:highlight w:val="none"/>
          <w14:textFill>
            <w14:solidFill>
              <w14:schemeClr w14:val="tx1"/>
            </w14:solidFill>
          </w14:textFill>
        </w:rPr>
        <w:t>操作过失原因造成厂区停电给工厂造成损失,追究</w:t>
      </w:r>
      <w:r>
        <w:rPr>
          <w:rFonts w:hint="eastAsia" w:cs="宋体"/>
          <w:color w:val="000000" w:themeColor="text1"/>
          <w:kern w:val="2"/>
          <w:sz w:val="21"/>
          <w:szCs w:val="21"/>
          <w:highlight w:val="none"/>
          <w:lang w:eastAsia="zh-CN"/>
          <w14:textFill>
            <w14:solidFill>
              <w14:schemeClr w14:val="tx1"/>
            </w14:solidFill>
          </w14:textFill>
        </w:rPr>
        <w:t>采购方</w:t>
      </w:r>
      <w:r>
        <w:rPr>
          <w:rFonts w:hint="eastAsia" w:ascii="宋体" w:hAnsi="宋体" w:cs="宋体"/>
          <w:color w:val="000000" w:themeColor="text1"/>
          <w:kern w:val="2"/>
          <w:sz w:val="21"/>
          <w:szCs w:val="21"/>
          <w:highlight w:val="none"/>
          <w14:textFill>
            <w14:solidFill>
              <w14:schemeClr w14:val="tx1"/>
            </w14:solidFill>
          </w14:textFill>
        </w:rPr>
        <w:t>过失责任，如有争议，经第三方机构鉴定造成的一切损失，由</w:t>
      </w:r>
      <w:r>
        <w:rPr>
          <w:rFonts w:hint="eastAsia" w:cs="宋体"/>
          <w:color w:val="000000" w:themeColor="text1"/>
          <w:kern w:val="2"/>
          <w:sz w:val="21"/>
          <w:szCs w:val="21"/>
          <w:highlight w:val="none"/>
          <w:lang w:eastAsia="zh-CN"/>
          <w14:textFill>
            <w14:solidFill>
              <w14:schemeClr w14:val="tx1"/>
            </w14:solidFill>
          </w14:textFill>
        </w:rPr>
        <w:t>采购方</w:t>
      </w:r>
      <w:r>
        <w:rPr>
          <w:rFonts w:hint="eastAsia" w:ascii="宋体" w:hAnsi="宋体" w:cs="宋体"/>
          <w:color w:val="000000" w:themeColor="text1"/>
          <w:kern w:val="2"/>
          <w:sz w:val="21"/>
          <w:szCs w:val="21"/>
          <w:highlight w:val="none"/>
          <w14:textFill>
            <w14:solidFill>
              <w14:schemeClr w14:val="tx1"/>
            </w14:solidFill>
          </w14:textFill>
        </w:rPr>
        <w:t>承担。</w:t>
      </w:r>
    </w:p>
    <w:p>
      <w:pPr>
        <w:pStyle w:val="58"/>
        <w:spacing w:line="400" w:lineRule="exact"/>
        <w:ind w:left="0" w:leftChars="0" w:firstLine="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5.2风电规模：</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30MW风电 +3.7MWh储能</w:t>
      </w:r>
    </w:p>
    <w:p>
      <w:pPr>
        <w:pStyle w:val="58"/>
        <w:spacing w:line="400" w:lineRule="exact"/>
        <w:ind w:left="0" w:leftChars="0" w:firstLine="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风电单机容量：</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6*5.0MW远景风机 +2*3.45MW 远景储能 </w:t>
      </w:r>
    </w:p>
    <w:p>
      <w:pPr>
        <w:pStyle w:val="58"/>
        <w:spacing w:line="400" w:lineRule="exact"/>
        <w:ind w:left="0" w:leftChars="0" w:firstLine="0" w:firstLineChars="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总装机台数：</w:t>
      </w:r>
      <w:r>
        <w:rPr>
          <w:rFonts w:hint="eastAsia" w:ascii="宋体"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6台 +2套 </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 xml:space="preserve">    </w:t>
      </w:r>
    </w:p>
    <w:p>
      <w:pPr>
        <w:pStyle w:val="58"/>
        <w:spacing w:line="400" w:lineRule="exact"/>
        <w:ind w:left="0" w:leftChars="0" w:firstLine="0" w:firstLineChars="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5.2</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.1</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采购方</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将承担内蒙古鄂尔多斯零碳30MW风电及3.45MW/3.7MWh储能项目场站运行维护（不含风机运行维护）；负责项目新型电力系统所有设备（除风机设备/储能设备/光伏的检修维护)的运行、维护、试验、检修、值守及相关后勤服务（安保、保洁、驾驶服务、餐饮服务）等工作，风电部分运维工作界限以送出线路本站侧终端塔连接点至风机950V主断路器下口以内的全部就地设施设备；储能部分运维工作界限以储能升压一体机高压侧到开关柜以内的全部就地设施设备;开关柜包括但不限于主控室及继保室，10kV开关室918/915/913/993开关柜、集电线路及#1-#6箱变，SVG，10kV预制舱（9个开关柜包含光伏柜），室外继保室，储能PCS等。包括但不局限于以下内容:</w:t>
      </w:r>
    </w:p>
    <w:p>
      <w:pPr>
        <w:pStyle w:val="58"/>
        <w:spacing w:line="400" w:lineRule="exact"/>
        <w:ind w:left="0" w:leftChars="0" w:firstLine="0" w:firstLineChars="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5.2</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风电场内各设备（变配电一、二次设备、直流系统、10千伏及以下集电线路等）、设施的管理工作，包括设备台账建立，企标规程、规章制度及各种记录表格的编制印刷，资料搜集保管，数据统计上传;年度各项生产经营计划的制定;库房管理;设备定期评级和报废建议等管理工作;风机设备的定期维护由厂家人员进行，</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采购方</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协助风机运维人员进行风机故障处理工作，</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采购方</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现场人员的工作为巡视、操作、监督、安全、质量管理。</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a）变配电设备：箱式变压器、负荷开关、断路器、跌落保险、隔离开关、避雷器、电流和电压互感器、绝缘支柱、绝缘子串、高低压电缆、高低压铜排、线路及杆塔、无功补偿装置、高压开关柜，直流系统，运行监控系统，二次回路中个开关、按钮、指示灯、继电器、温度表、PT、仪器仪表、温湿度控制器等；</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5.2</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风电各设备的运行管理工作，组织运行人员进行24h不间断监视、定时巡视，及时发现设备缺陷，做好各项生产运行记录。严格执行“两票三制”，执行安全规程、运行规程、检修规程和调度规程等相关法律、法规及规章制度，做好设备的倒闸操作，保障风电场安全、稳定、经济运行。</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5.2</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4</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风电各设备的检修、管理工作，科学制定各种检修计划，及时消缺、清扫、定期检查维护，完成好合同项下各设备的计划检修、临修和事故抢修工作，提高设备可利用率，确保设备、设施完好率，满足发电厂的正常生产。</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5.2</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 xml:space="preserve"> 按照电力工业技术监督工作规定、远景能源公司技术监督管理规定的项目及标准，开展10千伏及以下等级所有系统和设备的绝缘、化学、继电保护、电测、电能质量、金属、节能和风机控制系统等相关技术监督（不包含防雷接地试验），协助</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招标方</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委托具备相应资质的单位进行检验与检测工作，确保安全、经济、稳定运行。</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6</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所辖各类设施，如场内及检修道路、护坡、沟槽，生产、生活用房屋，建构筑物等资产及其附属设施的日常保养和维护。</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7</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 xml:space="preserve"> 生产和生活所用通讯网络、远动、及调度通讯、视频监控、安防、消防、给排水、采暖等系统的运行和维护工作。</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8</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 xml:space="preserve"> 现场验收：无条件协助</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招标方</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进行外委检修、备品备件、技改和基建等项目的验收工作，包括发电设备出质保期的验收工作，如果存在验收把关不严发生预留问题，则全部由</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采购方</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负责处理。</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9招标方</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授权下的风电场的外来公司接待工作。</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10</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试验仪器、安全工器具、检修工具根据行业规定进行定期校验、检测。</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.1</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 xml:space="preserve"> 风电场的文明生产及标准化工作。</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.1</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计划投运风电场包含生产准备工作，包括但不局限于以下内容: 生产准备人员配置、生产准备人员培训、生产准备方案编制、生产管理制度编制、生产技术文件准备、信息化系统建设、生产和生活物资准备启动准备、试运行以及移交等内容，具体参照《远景能源风电场项目生产准备管理制度》执行。</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2.</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.1</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t xml:space="preserve"> 协助风机维护人员开展风机故障处理工作，保证风机安全经济运行，提高风电场发电量。</w:t>
      </w:r>
    </w:p>
    <w:p>
      <w:pPr>
        <w:pStyle w:val="58"/>
        <w:spacing w:line="400" w:lineRule="exact"/>
        <w:ind w:firstLine="480"/>
        <w:rPr>
          <w:rFonts w:hint="eastAsia" w:ascii="宋体" w:hAnsi="宋体" w:cs="宋体" w:eastAsiaTheme="minorEastAsia"/>
          <w:color w:val="000000" w:themeColor="text1"/>
          <w:kern w:val="2"/>
          <w:sz w:val="21"/>
          <w:szCs w:val="21"/>
          <w:highlight w:val="none"/>
          <w:lang w:val="en-US" w:eastAsia="zh-CN" w:bidi="ar-SA"/>
          <w14:textFill>
            <w14:solidFill>
              <w14:schemeClr w14:val="tx1"/>
            </w14:solidFill>
          </w14:textFill>
        </w:rPr>
      </w:pPr>
    </w:p>
    <w:p>
      <w:pPr>
        <w:pStyle w:val="2"/>
        <w:keepLines w:val="0"/>
        <w:pageBreakBefore w:val="0"/>
        <w:widowControl w:val="0"/>
        <w:numPr>
          <w:ilvl w:val="0"/>
          <w:numId w:val="0"/>
        </w:numPr>
        <w:kinsoku/>
        <w:wordWrap/>
        <w:overflowPunct/>
        <w:topLinePunct w:val="0"/>
        <w:autoSpaceDE/>
        <w:autoSpaceDN/>
        <w:bidi w:val="0"/>
        <w:adjustRightInd w:val="0"/>
        <w:snapToGrid w:val="0"/>
        <w:spacing w:before="0" w:after="0" w:line="20" w:lineRule="atLeast"/>
        <w:jc w:val="both"/>
        <w:textAlignment w:val="auto"/>
        <w:rPr>
          <w:rFonts w:hint="eastAsia" w:ascii="黑体" w:hAnsi="黑体" w:eastAsia="黑体" w:cs="黑体"/>
          <w:b w:val="0"/>
          <w:bCs w:val="0"/>
          <w:color w:val="000000" w:themeColor="text1"/>
          <w:kern w:val="2"/>
          <w:sz w:val="21"/>
          <w:szCs w:val="2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21"/>
          <w:szCs w:val="22"/>
          <w:highlight w:val="none"/>
          <w:lang w:val="en-US" w:eastAsia="zh-CN" w:bidi="ar-SA"/>
          <w14:textFill>
            <w14:solidFill>
              <w14:schemeClr w14:val="tx1"/>
            </w14:solidFill>
          </w14:textFill>
        </w:rPr>
        <w:t>4.3技术要求</w:t>
      </w:r>
    </w:p>
    <w:p>
      <w:pPr>
        <w:rPr>
          <w:rFonts w:hint="eastAsia"/>
          <w:color w:val="000000" w:themeColor="text1"/>
          <w:highlight w:val="none"/>
          <w:lang w:val="en-US" w:eastAsia="zh-CN"/>
          <w14:textFill>
            <w14:solidFill>
              <w14:schemeClr w14:val="tx1"/>
            </w14:solidFill>
          </w14:textFill>
        </w:rPr>
      </w:pPr>
    </w:p>
    <w:p>
      <w:pPr>
        <w:pStyle w:val="60"/>
        <w:keepLines w:val="0"/>
        <w:pageBreakBefore w:val="0"/>
        <w:widowControl w:val="0"/>
        <w:kinsoku/>
        <w:wordWrap/>
        <w:overflowPunct/>
        <w:topLinePunct w:val="0"/>
        <w:autoSpaceDE/>
        <w:autoSpaceDN/>
        <w:bidi w:val="0"/>
        <w:adjustRightInd w:val="0"/>
        <w:snapToGrid w:val="0"/>
        <w:spacing w:line="20" w:lineRule="atLeast"/>
        <w:textAlignment w:val="auto"/>
        <w:rPr>
          <w:rFonts w:hint="default" w:ascii="宋体" w:hAnsi="宋体" w:cs="Arial" w:eastAsiaTheme="minorEastAsia"/>
          <w:color w:val="000000" w:themeColor="text1"/>
          <w:kern w:val="2"/>
          <w:sz w:val="21"/>
          <w:szCs w:val="21"/>
          <w:highlight w:val="none"/>
          <w:lang w:val="en-US" w:eastAsia="zh-CN"/>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1</w:t>
      </w:r>
      <w:r>
        <w:rPr>
          <w:rFonts w:hint="eastAsia" w:ascii="宋体" w:hAnsi="宋体" w:eastAsia="宋体"/>
          <w:color w:val="000000" w:themeColor="text1"/>
          <w:sz w:val="21"/>
          <w:szCs w:val="21"/>
          <w:highlight w:val="none"/>
          <w:lang w:val="en-US"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技术标准（包括但不限于）</w:t>
      </w:r>
    </w:p>
    <w:p>
      <w:pPr>
        <w:keepLines w:val="0"/>
        <w:pageBreakBefore w:val="0"/>
        <w:widowControl w:val="0"/>
        <w:kinsoku/>
        <w:wordWrap/>
        <w:overflowPunct/>
        <w:topLinePunct w:val="0"/>
        <w:autoSpaceDE/>
        <w:autoSpaceDN/>
        <w:bidi w:val="0"/>
        <w:spacing w:before="82" w:line="20" w:lineRule="atLeast"/>
        <w:ind w:right="2296"/>
        <w:textAlignment w:val="auto"/>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1"/>
          <w:sz w:val="22"/>
          <w:szCs w:val="22"/>
          <w:highlight w:val="none"/>
          <w:lang w:val="en-US" w:eastAsia="zh-CN"/>
          <w14:textFill>
            <w14:solidFill>
              <w14:schemeClr w14:val="tx1"/>
            </w14:solidFill>
          </w14:textFill>
        </w:rPr>
        <w:t>1.1</w:t>
      </w:r>
      <w:r>
        <w:rPr>
          <w:rFonts w:ascii="宋体" w:hAnsi="宋体" w:eastAsia="宋体" w:cs="宋体"/>
          <w:color w:val="000000" w:themeColor="text1"/>
          <w:spacing w:val="-11"/>
          <w:sz w:val="22"/>
          <w:szCs w:val="22"/>
          <w:highlight w:val="none"/>
          <w14:textFill>
            <w14:solidFill>
              <w14:schemeClr w14:val="tx1"/>
            </w14:solidFill>
          </w14:textFill>
        </w:rPr>
        <w:t>《国家电网公司电力安全工作规程》、(变电站和发电厂电气</w:t>
      </w:r>
      <w:r>
        <w:rPr>
          <w:rFonts w:ascii="宋体" w:hAnsi="宋体" w:eastAsia="宋体" w:cs="宋体"/>
          <w:color w:val="000000" w:themeColor="text1"/>
          <w:spacing w:val="-12"/>
          <w:sz w:val="22"/>
          <w:szCs w:val="22"/>
          <w:highlight w:val="none"/>
          <w14:textFill>
            <w14:solidFill>
              <w14:schemeClr w14:val="tx1"/>
            </w14:solidFill>
          </w14:textFill>
        </w:rPr>
        <w:t>部分)</w:t>
      </w:r>
      <w:r>
        <w:rPr>
          <w:rFonts w:ascii="宋体" w:hAnsi="宋体" w:eastAsia="宋体" w:cs="宋体"/>
          <w:color w:val="000000" w:themeColor="text1"/>
          <w:sz w:val="22"/>
          <w:szCs w:val="22"/>
          <w:highlight w:val="none"/>
          <w14:textFill>
            <w14:solidFill>
              <w14:schemeClr w14:val="tx1"/>
            </w14:solidFill>
          </w14:textFill>
        </w:rPr>
        <w:t xml:space="preserve"> </w:t>
      </w:r>
    </w:p>
    <w:p>
      <w:pPr>
        <w:spacing w:before="82" w:line="255" w:lineRule="auto"/>
        <w:ind w:right="2296"/>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9"/>
          <w:sz w:val="22"/>
          <w:szCs w:val="22"/>
          <w:highlight w:val="none"/>
          <w:lang w:val="en-US" w:eastAsia="zh-CN"/>
          <w14:textFill>
            <w14:solidFill>
              <w14:schemeClr w14:val="tx1"/>
            </w14:solidFill>
          </w14:textFill>
        </w:rPr>
        <w:t>1.2</w:t>
      </w:r>
      <w:r>
        <w:rPr>
          <w:rFonts w:ascii="宋体" w:hAnsi="宋体" w:eastAsia="宋体" w:cs="宋体"/>
          <w:color w:val="000000" w:themeColor="text1"/>
          <w:spacing w:val="-9"/>
          <w:sz w:val="22"/>
          <w:szCs w:val="22"/>
          <w:highlight w:val="none"/>
          <w14:textFill>
            <w14:solidFill>
              <w14:schemeClr w14:val="tx1"/>
            </w14:solidFill>
          </w14:textFill>
        </w:rPr>
        <w:t>《国家电网公司变电站管理规范》</w:t>
      </w:r>
    </w:p>
    <w:p>
      <w:pPr>
        <w:spacing w:before="22" w:line="255" w:lineRule="auto"/>
        <w:ind w:right="5811"/>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0"/>
          <w:sz w:val="22"/>
          <w:szCs w:val="22"/>
          <w:highlight w:val="none"/>
          <w:lang w:val="en-US" w:eastAsia="zh-CN"/>
          <w14:textFill>
            <w14:solidFill>
              <w14:schemeClr w14:val="tx1"/>
            </w14:solidFill>
          </w14:textFill>
        </w:rPr>
        <w:t>1</w:t>
      </w:r>
      <w:r>
        <w:rPr>
          <w:rFonts w:ascii="宋体" w:hAnsi="宋体" w:eastAsia="宋体" w:cs="宋体"/>
          <w:color w:val="000000" w:themeColor="text1"/>
          <w:spacing w:val="-10"/>
          <w:sz w:val="22"/>
          <w:szCs w:val="22"/>
          <w:highlight w:val="none"/>
          <w14:textFill>
            <w14:solidFill>
              <w14:schemeClr w14:val="tx1"/>
            </w14:solidFill>
          </w14:textFill>
        </w:rPr>
        <w:t>.3《工作票操作票管理规定》</w:t>
      </w:r>
      <w:r>
        <w:rPr>
          <w:rFonts w:ascii="宋体" w:hAnsi="宋体" w:eastAsia="宋体" w:cs="宋体"/>
          <w:color w:val="000000" w:themeColor="text1"/>
          <w:spacing w:val="9"/>
          <w:sz w:val="22"/>
          <w:szCs w:val="22"/>
          <w:highlight w:val="none"/>
          <w14:textFill>
            <w14:solidFill>
              <w14:schemeClr w14:val="tx1"/>
            </w14:solidFill>
          </w14:textFill>
        </w:rPr>
        <w:t xml:space="preserve"> </w:t>
      </w:r>
      <w:r>
        <w:rPr>
          <w:rFonts w:hint="eastAsia" w:ascii="宋体" w:hAnsi="宋体" w:eastAsia="宋体" w:cs="宋体"/>
          <w:color w:val="000000" w:themeColor="text1"/>
          <w:spacing w:val="-10"/>
          <w:sz w:val="22"/>
          <w:szCs w:val="22"/>
          <w:highlight w:val="none"/>
          <w:lang w:val="en-US" w:eastAsia="zh-CN"/>
          <w14:textFill>
            <w14:solidFill>
              <w14:schemeClr w14:val="tx1"/>
            </w14:solidFill>
          </w14:textFill>
        </w:rPr>
        <w:t>1</w:t>
      </w:r>
      <w:r>
        <w:rPr>
          <w:rFonts w:ascii="宋体" w:hAnsi="宋体" w:eastAsia="宋体" w:cs="宋体"/>
          <w:color w:val="000000" w:themeColor="text1"/>
          <w:spacing w:val="-10"/>
          <w:sz w:val="22"/>
          <w:szCs w:val="22"/>
          <w:highlight w:val="none"/>
          <w14:textFill>
            <w14:solidFill>
              <w14:schemeClr w14:val="tx1"/>
            </w14:solidFill>
          </w14:textFill>
        </w:rPr>
        <w:t>.4《工作票操作票填写规定》</w:t>
      </w:r>
    </w:p>
    <w:p>
      <w:pPr>
        <w:spacing w:before="21" w:line="247" w:lineRule="auto"/>
        <w:ind w:right="4962"/>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9"/>
          <w:sz w:val="22"/>
          <w:szCs w:val="22"/>
          <w:highlight w:val="none"/>
          <w:lang w:val="en-US" w:eastAsia="zh-CN"/>
          <w14:textFill>
            <w14:solidFill>
              <w14:schemeClr w14:val="tx1"/>
            </w14:solidFill>
          </w14:textFill>
        </w:rPr>
        <w:t>1</w:t>
      </w:r>
      <w:r>
        <w:rPr>
          <w:rFonts w:ascii="宋体" w:hAnsi="宋体" w:eastAsia="宋体" w:cs="宋体"/>
          <w:color w:val="000000" w:themeColor="text1"/>
          <w:spacing w:val="-9"/>
          <w:sz w:val="22"/>
          <w:szCs w:val="22"/>
          <w:highlight w:val="none"/>
          <w14:textFill>
            <w14:solidFill>
              <w14:schemeClr w14:val="tx1"/>
            </w14:solidFill>
          </w14:textFill>
        </w:rPr>
        <w:t>.5《操作票管理及填写规定实施细则》</w:t>
      </w:r>
      <w:r>
        <w:rPr>
          <w:rFonts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9"/>
          <w:sz w:val="22"/>
          <w:szCs w:val="22"/>
          <w:highlight w:val="none"/>
          <w:lang w:val="en-US" w:eastAsia="zh-CN"/>
          <w14:textFill>
            <w14:solidFill>
              <w14:schemeClr w14:val="tx1"/>
            </w14:solidFill>
          </w14:textFill>
        </w:rPr>
        <w:t>1</w:t>
      </w:r>
      <w:r>
        <w:rPr>
          <w:rFonts w:ascii="宋体" w:hAnsi="宋体" w:eastAsia="宋体" w:cs="宋体"/>
          <w:color w:val="000000" w:themeColor="text1"/>
          <w:spacing w:val="-9"/>
          <w:sz w:val="22"/>
          <w:szCs w:val="22"/>
          <w:highlight w:val="none"/>
          <w14:textFill>
            <w14:solidFill>
              <w14:schemeClr w14:val="tx1"/>
            </w14:solidFill>
          </w14:textFill>
        </w:rPr>
        <w:t>.6《防止电气误操作装置管理制度》</w:t>
      </w:r>
    </w:p>
    <w:p>
      <w:pPr>
        <w:spacing w:before="22" w:line="219" w:lineRule="auto"/>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lang w:val="en-US" w:eastAsia="zh-CN"/>
          <w14:textFill>
            <w14:solidFill>
              <w14:schemeClr w14:val="tx1"/>
            </w14:solidFill>
          </w14:textFill>
        </w:rPr>
        <w:t>1</w:t>
      </w:r>
      <w:r>
        <w:rPr>
          <w:rFonts w:ascii="宋体" w:hAnsi="宋体" w:eastAsia="宋体" w:cs="宋体"/>
          <w:color w:val="000000" w:themeColor="text1"/>
          <w:spacing w:val="-8"/>
          <w:sz w:val="22"/>
          <w:szCs w:val="22"/>
          <w:highlight w:val="none"/>
          <w14:textFill>
            <w14:solidFill>
              <w14:schemeClr w14:val="tx1"/>
            </w14:solidFill>
          </w14:textFill>
        </w:rPr>
        <w:t>.7《输变电运维一体化管理办法》</w:t>
      </w:r>
    </w:p>
    <w:p>
      <w:pPr>
        <w:spacing w:before="70" w:line="255" w:lineRule="auto"/>
        <w:ind w:right="3721"/>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0"/>
          <w:sz w:val="22"/>
          <w:szCs w:val="22"/>
          <w:highlight w:val="none"/>
          <w:lang w:val="en-US" w:eastAsia="zh-CN"/>
          <w14:textFill>
            <w14:solidFill>
              <w14:schemeClr w14:val="tx1"/>
            </w14:solidFill>
          </w14:textFill>
        </w:rPr>
        <w:t>1</w:t>
      </w:r>
      <w:r>
        <w:rPr>
          <w:rFonts w:ascii="宋体" w:hAnsi="宋体" w:eastAsia="宋体" w:cs="宋体"/>
          <w:color w:val="000000" w:themeColor="text1"/>
          <w:spacing w:val="-10"/>
          <w:sz w:val="22"/>
          <w:szCs w:val="22"/>
          <w:highlight w:val="none"/>
          <w14:textFill>
            <w14:solidFill>
              <w14:schemeClr w14:val="tx1"/>
            </w14:solidFill>
          </w14:textFill>
        </w:rPr>
        <w:t>.8《国家电网公司电网设备状态信息收集工作标</w:t>
      </w:r>
      <w:r>
        <w:rPr>
          <w:rFonts w:ascii="宋体" w:hAnsi="宋体" w:eastAsia="宋体" w:cs="宋体"/>
          <w:color w:val="000000" w:themeColor="text1"/>
          <w:spacing w:val="-11"/>
          <w:sz w:val="22"/>
          <w:szCs w:val="22"/>
          <w:highlight w:val="none"/>
          <w14:textFill>
            <w14:solidFill>
              <w14:schemeClr w14:val="tx1"/>
            </w14:solidFill>
          </w14:textFill>
        </w:rPr>
        <w:t>准》</w:t>
      </w:r>
      <w:r>
        <w:rPr>
          <w:rFonts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9"/>
          <w:sz w:val="22"/>
          <w:szCs w:val="22"/>
          <w:highlight w:val="none"/>
          <w:lang w:val="en-US" w:eastAsia="zh-CN"/>
          <w14:textFill>
            <w14:solidFill>
              <w14:schemeClr w14:val="tx1"/>
            </w14:solidFill>
          </w14:textFill>
        </w:rPr>
        <w:t>1</w:t>
      </w:r>
      <w:r>
        <w:rPr>
          <w:rFonts w:ascii="宋体" w:hAnsi="宋体" w:eastAsia="宋体" w:cs="宋体"/>
          <w:color w:val="000000" w:themeColor="text1"/>
          <w:spacing w:val="-9"/>
          <w:sz w:val="22"/>
          <w:szCs w:val="22"/>
          <w:highlight w:val="none"/>
          <w14:textFill>
            <w14:solidFill>
              <w14:schemeClr w14:val="tx1"/>
            </w14:solidFill>
          </w14:textFill>
        </w:rPr>
        <w:t>.9《输变电设备状态管理办法》</w:t>
      </w:r>
    </w:p>
    <w:p>
      <w:pPr>
        <w:spacing w:before="20" w:line="264" w:lineRule="auto"/>
        <w:ind w:right="6" w:rightChars="0"/>
        <w:rPr>
          <w:rFonts w:ascii="宋体" w:hAnsi="宋体" w:eastAsia="宋体" w:cs="宋体"/>
          <w:color w:val="000000" w:themeColor="text1"/>
          <w:spacing w:val="12"/>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lang w:val="en-US" w:eastAsia="zh-CN"/>
          <w14:textFill>
            <w14:solidFill>
              <w14:schemeClr w14:val="tx1"/>
            </w14:solidFill>
          </w14:textFill>
        </w:rPr>
        <w:t>1</w:t>
      </w:r>
      <w:r>
        <w:rPr>
          <w:rFonts w:ascii="宋体" w:hAnsi="宋体" w:eastAsia="宋体" w:cs="宋体"/>
          <w:color w:val="000000" w:themeColor="text1"/>
          <w:spacing w:val="-1"/>
          <w:sz w:val="22"/>
          <w:szCs w:val="22"/>
          <w:highlight w:val="none"/>
          <w14:textFill>
            <w14:solidFill>
              <w14:schemeClr w14:val="tx1"/>
            </w14:solidFill>
          </w14:textFill>
        </w:rPr>
        <w:t>.10建设项目施工招标、投标办法建设、信息第3号</w:t>
      </w:r>
      <w:r>
        <w:rPr>
          <w:rFonts w:ascii="宋体" w:hAnsi="宋体" w:eastAsia="宋体" w:cs="宋体"/>
          <w:color w:val="000000" w:themeColor="text1"/>
          <w:spacing w:val="12"/>
          <w:sz w:val="22"/>
          <w:szCs w:val="22"/>
          <w:highlight w:val="none"/>
          <w14:textFill>
            <w14:solidFill>
              <w14:schemeClr w14:val="tx1"/>
            </w14:solidFill>
          </w14:textFill>
        </w:rPr>
        <w:t xml:space="preserve"> </w:t>
      </w:r>
    </w:p>
    <w:p>
      <w:pPr>
        <w:spacing w:before="20" w:line="264" w:lineRule="auto"/>
        <w:ind w:right="3594"/>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
          <w:sz w:val="22"/>
          <w:szCs w:val="22"/>
          <w:highlight w:val="none"/>
          <w:lang w:val="en-US" w:eastAsia="zh-CN"/>
          <w14:textFill>
            <w14:solidFill>
              <w14:schemeClr w14:val="tx1"/>
            </w14:solidFill>
          </w14:textFill>
        </w:rPr>
        <w:t>1</w:t>
      </w:r>
      <w:r>
        <w:rPr>
          <w:rFonts w:ascii="宋体" w:hAnsi="宋体" w:eastAsia="宋体" w:cs="宋体"/>
          <w:color w:val="000000" w:themeColor="text1"/>
          <w:spacing w:val="1"/>
          <w:sz w:val="22"/>
          <w:szCs w:val="22"/>
          <w:highlight w:val="none"/>
          <w14:textFill>
            <w14:solidFill>
              <w14:schemeClr w14:val="tx1"/>
            </w14:solidFill>
          </w14:textFill>
        </w:rPr>
        <w:t>.11电力安全监察规定电安生[1995]6</w:t>
      </w:r>
      <w:r>
        <w:rPr>
          <w:rFonts w:ascii="宋体" w:hAnsi="宋体" w:eastAsia="宋体" w:cs="宋体"/>
          <w:color w:val="000000" w:themeColor="text1"/>
          <w:sz w:val="22"/>
          <w:szCs w:val="22"/>
          <w:highlight w:val="none"/>
          <w14:textFill>
            <w14:solidFill>
              <w14:schemeClr w14:val="tx1"/>
            </w14:solidFill>
          </w14:textFill>
        </w:rPr>
        <w:t>8号</w:t>
      </w:r>
    </w:p>
    <w:p>
      <w:pPr>
        <w:spacing w:before="12" w:line="219" w:lineRule="auto"/>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ascii="宋体" w:hAnsi="宋体" w:eastAsia="宋体" w:cs="宋体"/>
          <w:color w:val="000000" w:themeColor="text1"/>
          <w:sz w:val="22"/>
          <w:szCs w:val="22"/>
          <w:highlight w:val="none"/>
          <w14:textFill>
            <w14:solidFill>
              <w14:schemeClr w14:val="tx1"/>
            </w14:solidFill>
          </w14:textFill>
        </w:rPr>
        <w:t>.12电力生产安全工作规定电安生[1995]687号</w:t>
      </w:r>
    </w:p>
    <w:p>
      <w:pPr>
        <w:spacing w:before="49" w:line="219" w:lineRule="auto"/>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2"/>
          <w:sz w:val="22"/>
          <w:szCs w:val="22"/>
          <w:highlight w:val="none"/>
          <w:lang w:val="en-US" w:eastAsia="zh-CN"/>
          <w14:textFill>
            <w14:solidFill>
              <w14:schemeClr w14:val="tx1"/>
            </w14:solidFill>
          </w14:textFill>
        </w:rPr>
        <w:t>1</w:t>
      </w:r>
      <w:r>
        <w:rPr>
          <w:rFonts w:ascii="宋体" w:hAnsi="宋体" w:eastAsia="宋体" w:cs="宋体"/>
          <w:color w:val="000000" w:themeColor="text1"/>
          <w:spacing w:val="-2"/>
          <w:sz w:val="22"/>
          <w:szCs w:val="22"/>
          <w:highlight w:val="none"/>
          <w14:textFill>
            <w14:solidFill>
              <w14:schemeClr w14:val="tx1"/>
            </w14:solidFill>
          </w14:textFill>
        </w:rPr>
        <w:t>.13电力可靠性管理暂行办法国经贸电力[2000]970</w:t>
      </w:r>
    </w:p>
    <w:p>
      <w:pPr>
        <w:spacing w:before="49" w:line="247" w:lineRule="auto"/>
        <w:ind w:right="6"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3"/>
          <w:sz w:val="22"/>
          <w:szCs w:val="22"/>
          <w:highlight w:val="none"/>
          <w:lang w:val="en-US" w:eastAsia="zh-CN"/>
          <w14:textFill>
            <w14:solidFill>
              <w14:schemeClr w14:val="tx1"/>
            </w14:solidFill>
          </w14:textFill>
        </w:rPr>
        <w:t>1</w:t>
      </w:r>
      <w:r>
        <w:rPr>
          <w:rFonts w:ascii="宋体" w:hAnsi="宋体" w:eastAsia="宋体" w:cs="宋体"/>
          <w:color w:val="000000" w:themeColor="text1"/>
          <w:spacing w:val="3"/>
          <w:sz w:val="22"/>
          <w:szCs w:val="22"/>
          <w:highlight w:val="none"/>
          <w14:textFill>
            <w14:solidFill>
              <w14:schemeClr w14:val="tx1"/>
            </w14:solidFill>
          </w14:textFill>
        </w:rPr>
        <w:t>.14重大活动电力安全保障工作规定(试行)(办安</w:t>
      </w:r>
      <w:r>
        <w:rPr>
          <w:rFonts w:ascii="宋体" w:hAnsi="宋体" w:eastAsia="宋体" w:cs="宋体"/>
          <w:color w:val="000000" w:themeColor="text1"/>
          <w:spacing w:val="2"/>
          <w:sz w:val="22"/>
          <w:szCs w:val="22"/>
          <w:highlight w:val="none"/>
          <w14:textFill>
            <w14:solidFill>
              <w14:schemeClr w14:val="tx1"/>
            </w14:solidFill>
          </w14:textFill>
        </w:rPr>
        <w:t>全〔2010〕88号)</w:t>
      </w:r>
      <w:r>
        <w:rPr>
          <w:rFonts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pacing w:val="8"/>
          <w:sz w:val="22"/>
          <w:szCs w:val="22"/>
          <w:highlight w:val="none"/>
          <w:lang w:val="en-US" w:eastAsia="zh-CN"/>
          <w14:textFill>
            <w14:solidFill>
              <w14:schemeClr w14:val="tx1"/>
            </w14:solidFill>
          </w14:textFill>
        </w:rPr>
        <w:t>1</w:t>
      </w:r>
      <w:r>
        <w:rPr>
          <w:rFonts w:ascii="宋体" w:hAnsi="宋体" w:eastAsia="宋体" w:cs="宋体"/>
          <w:color w:val="000000" w:themeColor="text1"/>
          <w:spacing w:val="8"/>
          <w:sz w:val="22"/>
          <w:szCs w:val="22"/>
          <w:highlight w:val="none"/>
          <w14:textFill>
            <w14:solidFill>
              <w14:schemeClr w14:val="tx1"/>
            </w14:solidFill>
          </w14:textFill>
        </w:rPr>
        <w:t>.15电力安全隐患监督管理暂行规定(电监安全</w:t>
      </w:r>
      <w:r>
        <w:rPr>
          <w:rFonts w:ascii="宋体" w:hAnsi="宋体" w:eastAsia="宋体" w:cs="宋体"/>
          <w:color w:val="000000" w:themeColor="text1"/>
          <w:spacing w:val="7"/>
          <w:sz w:val="22"/>
          <w:szCs w:val="22"/>
          <w:highlight w:val="none"/>
          <w14:textFill>
            <w14:solidFill>
              <w14:schemeClr w14:val="tx1"/>
            </w14:solidFill>
          </w14:textFill>
        </w:rPr>
        <w:t>(2013)5号)</w:t>
      </w:r>
    </w:p>
    <w:p>
      <w:pPr>
        <w:spacing w:before="42" w:line="255" w:lineRule="auto"/>
        <w:ind w:right="6"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0"/>
          <w:sz w:val="22"/>
          <w:szCs w:val="22"/>
          <w:highlight w:val="none"/>
          <w:lang w:val="en-US" w:eastAsia="zh-CN"/>
          <w14:textFill>
            <w14:solidFill>
              <w14:schemeClr w14:val="tx1"/>
            </w14:solidFill>
          </w14:textFill>
        </w:rPr>
        <w:t>1</w:t>
      </w:r>
      <w:r>
        <w:rPr>
          <w:rFonts w:ascii="宋体" w:hAnsi="宋体" w:eastAsia="宋体" w:cs="宋体"/>
          <w:color w:val="000000" w:themeColor="text1"/>
          <w:spacing w:val="10"/>
          <w:sz w:val="22"/>
          <w:szCs w:val="22"/>
          <w:highlight w:val="none"/>
          <w14:textFill>
            <w14:solidFill>
              <w14:schemeClr w14:val="tx1"/>
            </w14:solidFill>
          </w14:textFill>
        </w:rPr>
        <w:t>.1</w:t>
      </w:r>
      <w:r>
        <w:rPr>
          <w:rFonts w:hint="eastAsia" w:ascii="宋体" w:hAnsi="宋体" w:eastAsia="宋体" w:cs="宋体"/>
          <w:color w:val="000000" w:themeColor="text1"/>
          <w:spacing w:val="10"/>
          <w:sz w:val="22"/>
          <w:szCs w:val="22"/>
          <w:highlight w:val="none"/>
          <w:lang w:val="en-US" w:eastAsia="zh-CN"/>
          <w14:textFill>
            <w14:solidFill>
              <w14:schemeClr w14:val="tx1"/>
            </w14:solidFill>
          </w14:textFill>
        </w:rPr>
        <w:t>5</w:t>
      </w:r>
      <w:r>
        <w:rPr>
          <w:rFonts w:ascii="宋体" w:hAnsi="宋体" w:eastAsia="宋体" w:cs="宋体"/>
          <w:color w:val="000000" w:themeColor="text1"/>
          <w:spacing w:val="10"/>
          <w:sz w:val="22"/>
          <w:szCs w:val="22"/>
          <w:highlight w:val="none"/>
          <w14:textFill>
            <w14:solidFill>
              <w14:schemeClr w14:val="tx1"/>
            </w14:solidFill>
          </w14:textFill>
        </w:rPr>
        <w:t>电网安全风险管控办法(试行)(国能安全(2014)123号)</w:t>
      </w:r>
      <w:r>
        <w:rPr>
          <w:rFonts w:ascii="宋体" w:hAnsi="宋体" w:eastAsia="宋体" w:cs="宋体"/>
          <w:color w:val="000000" w:themeColor="text1"/>
          <w:spacing w:val="16"/>
          <w:sz w:val="22"/>
          <w:szCs w:val="22"/>
          <w:highlight w:val="none"/>
          <w14:textFill>
            <w14:solidFill>
              <w14:schemeClr w14:val="tx1"/>
            </w14:solidFill>
          </w14:textFill>
        </w:rPr>
        <w:t xml:space="preserve"> </w:t>
      </w:r>
      <w:r>
        <w:rPr>
          <w:rFonts w:ascii="宋体" w:hAnsi="宋体" w:eastAsia="宋体" w:cs="宋体"/>
          <w:color w:val="000000" w:themeColor="text1"/>
          <w:spacing w:val="9"/>
          <w:sz w:val="22"/>
          <w:szCs w:val="22"/>
          <w:highlight w:val="none"/>
          <w14:textFill>
            <w14:solidFill>
              <w14:schemeClr w14:val="tx1"/>
            </w14:solidFill>
          </w14:textFill>
        </w:rPr>
        <w:t>3.17电力安全事件监督管理规定(国能安全</w:t>
      </w:r>
      <w:r>
        <w:rPr>
          <w:rFonts w:ascii="宋体" w:hAnsi="宋体" w:eastAsia="宋体" w:cs="宋体"/>
          <w:color w:val="000000" w:themeColor="text1"/>
          <w:spacing w:val="8"/>
          <w:sz w:val="22"/>
          <w:szCs w:val="22"/>
          <w:highlight w:val="none"/>
          <w14:textFill>
            <w14:solidFill>
              <w14:schemeClr w14:val="tx1"/>
            </w14:solidFill>
          </w14:textFill>
        </w:rPr>
        <w:t>(2014)205号)</w:t>
      </w:r>
    </w:p>
    <w:p>
      <w:pPr>
        <w:tabs>
          <w:tab w:val="left" w:pos="8400"/>
        </w:tabs>
        <w:spacing w:before="21" w:line="247" w:lineRule="auto"/>
        <w:ind w:right="6"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1</w:t>
      </w:r>
      <w:r>
        <w:rPr>
          <w:rFonts w:ascii="宋体" w:hAnsi="宋体" w:eastAsia="宋体" w:cs="宋体"/>
          <w:color w:val="000000" w:themeColor="text1"/>
          <w:spacing w:val="6"/>
          <w:sz w:val="22"/>
          <w:szCs w:val="22"/>
          <w:highlight w:val="none"/>
          <w14:textFill>
            <w14:solidFill>
              <w14:schemeClr w14:val="tx1"/>
            </w14:solidFill>
          </w14:textFill>
        </w:rPr>
        <w:t>.1</w:t>
      </w:r>
      <w:r>
        <w:rPr>
          <w:rFonts w:hint="eastAsia" w:ascii="宋体" w:hAnsi="宋体" w:eastAsia="宋体" w:cs="宋体"/>
          <w:color w:val="000000" w:themeColor="text1"/>
          <w:spacing w:val="6"/>
          <w:sz w:val="22"/>
          <w:szCs w:val="22"/>
          <w:highlight w:val="none"/>
          <w:lang w:val="en-US" w:eastAsia="zh-CN"/>
          <w14:textFill>
            <w14:solidFill>
              <w14:schemeClr w14:val="tx1"/>
            </w14:solidFill>
          </w14:textFill>
        </w:rPr>
        <w:t>6</w:t>
      </w:r>
      <w:r>
        <w:rPr>
          <w:rFonts w:ascii="宋体" w:hAnsi="宋体" w:eastAsia="宋体" w:cs="宋体"/>
          <w:color w:val="000000" w:themeColor="text1"/>
          <w:spacing w:val="6"/>
          <w:sz w:val="22"/>
          <w:szCs w:val="22"/>
          <w:highlight w:val="none"/>
          <w14:textFill>
            <w14:solidFill>
              <w14:schemeClr w14:val="tx1"/>
            </w14:solidFill>
          </w14:textFill>
        </w:rPr>
        <w:t>电力行业网络与信息安全管理办法(国能安全(2014)317号)</w:t>
      </w:r>
      <w:r>
        <w:rPr>
          <w:rFonts w:ascii="宋体" w:hAnsi="宋体" w:eastAsia="宋体" w:cs="宋体"/>
          <w:color w:val="000000" w:themeColor="text1"/>
          <w:spacing w:val="7"/>
          <w:sz w:val="22"/>
          <w:szCs w:val="22"/>
          <w:highlight w:val="none"/>
          <w14:textFill>
            <w14:solidFill>
              <w14:schemeClr w14:val="tx1"/>
            </w14:solidFill>
          </w14:textFill>
        </w:rPr>
        <w:t xml:space="preserve"> </w:t>
      </w:r>
      <w:r>
        <w:rPr>
          <w:rFonts w:ascii="宋体" w:hAnsi="宋体" w:eastAsia="宋体" w:cs="宋体"/>
          <w:color w:val="000000" w:themeColor="text1"/>
          <w:spacing w:val="8"/>
          <w:sz w:val="22"/>
          <w:szCs w:val="22"/>
          <w:highlight w:val="none"/>
          <w14:textFill>
            <w14:solidFill>
              <w14:schemeClr w14:val="tx1"/>
            </w14:solidFill>
          </w14:textFill>
        </w:rPr>
        <w:t>3.19电力网电能损耗管理规定(能源节能(1990)1149号)</w:t>
      </w:r>
    </w:p>
    <w:p>
      <w:pPr>
        <w:spacing w:before="33" w:line="251" w:lineRule="auto"/>
        <w:ind w:right="6" w:rightChars="0"/>
        <w:jc w:val="both"/>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10"/>
          <w:sz w:val="22"/>
          <w:szCs w:val="22"/>
          <w:highlight w:val="none"/>
          <w:lang w:val="en-US" w:eastAsia="zh-CN"/>
          <w14:textFill>
            <w14:solidFill>
              <w14:schemeClr w14:val="tx1"/>
            </w14:solidFill>
          </w14:textFill>
        </w:rPr>
        <w:t>1</w:t>
      </w:r>
      <w:r>
        <w:rPr>
          <w:rFonts w:ascii="宋体" w:hAnsi="宋体" w:eastAsia="宋体" w:cs="宋体"/>
          <w:color w:val="000000" w:themeColor="text1"/>
          <w:spacing w:val="10"/>
          <w:sz w:val="22"/>
          <w:szCs w:val="22"/>
          <w:highlight w:val="none"/>
          <w14:textFill>
            <w14:solidFill>
              <w14:schemeClr w14:val="tx1"/>
            </w14:solidFill>
          </w14:textFill>
        </w:rPr>
        <w:t>.</w:t>
      </w:r>
      <w:r>
        <w:rPr>
          <w:rFonts w:hint="eastAsia" w:ascii="宋体" w:hAnsi="宋体" w:eastAsia="宋体" w:cs="宋体"/>
          <w:color w:val="000000" w:themeColor="text1"/>
          <w:spacing w:val="10"/>
          <w:sz w:val="22"/>
          <w:szCs w:val="22"/>
          <w:highlight w:val="none"/>
          <w:lang w:val="en-US" w:eastAsia="zh-CN"/>
          <w14:textFill>
            <w14:solidFill>
              <w14:schemeClr w14:val="tx1"/>
            </w14:solidFill>
          </w14:textFill>
        </w:rPr>
        <w:t>17</w:t>
      </w:r>
      <w:r>
        <w:rPr>
          <w:rFonts w:ascii="宋体" w:hAnsi="宋体" w:eastAsia="宋体" w:cs="宋体"/>
          <w:color w:val="000000" w:themeColor="text1"/>
          <w:spacing w:val="10"/>
          <w:sz w:val="22"/>
          <w:szCs w:val="22"/>
          <w:highlight w:val="none"/>
          <w14:textFill>
            <w14:solidFill>
              <w14:schemeClr w14:val="tx1"/>
            </w14:solidFill>
          </w14:textFill>
        </w:rPr>
        <w:t>节约用电管理办法(国经贸资源(2000)12</w:t>
      </w:r>
      <w:r>
        <w:rPr>
          <w:rFonts w:ascii="宋体" w:hAnsi="宋体" w:eastAsia="宋体" w:cs="宋体"/>
          <w:color w:val="000000" w:themeColor="text1"/>
          <w:spacing w:val="9"/>
          <w:sz w:val="22"/>
          <w:szCs w:val="22"/>
          <w:highlight w:val="none"/>
          <w14:textFill>
            <w14:solidFill>
              <w14:schemeClr w14:val="tx1"/>
            </w14:solidFill>
          </w14:textFill>
        </w:rPr>
        <w:t>56号)</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10"/>
          <w:sz w:val="22"/>
          <w:szCs w:val="22"/>
          <w:highlight w:val="none"/>
          <w14:textFill>
            <w14:solidFill>
              <w14:schemeClr w14:val="tx1"/>
            </w14:solidFill>
          </w14:textFill>
        </w:rPr>
        <w:t>3.21电力需求侧管理办法(发改运行(2010)26</w:t>
      </w:r>
      <w:r>
        <w:rPr>
          <w:rFonts w:ascii="宋体" w:hAnsi="宋体" w:eastAsia="宋体" w:cs="宋体"/>
          <w:color w:val="000000" w:themeColor="text1"/>
          <w:spacing w:val="9"/>
          <w:sz w:val="22"/>
          <w:szCs w:val="22"/>
          <w:highlight w:val="none"/>
          <w14:textFill>
            <w14:solidFill>
              <w14:schemeClr w14:val="tx1"/>
            </w14:solidFill>
          </w14:textFill>
        </w:rPr>
        <w:t>43号)</w:t>
      </w:r>
      <w:r>
        <w:rPr>
          <w:rFonts w:ascii="宋体" w:hAnsi="宋体" w:eastAsia="宋体" w:cs="宋体"/>
          <w:color w:val="000000" w:themeColor="text1"/>
          <w:sz w:val="22"/>
          <w:szCs w:val="22"/>
          <w:highlight w:val="none"/>
          <w14:textFill>
            <w14:solidFill>
              <w14:schemeClr w14:val="tx1"/>
            </w14:solidFill>
          </w14:textFill>
        </w:rPr>
        <w:t xml:space="preserve"> </w:t>
      </w:r>
      <w:r>
        <w:rPr>
          <w:rFonts w:ascii="宋体" w:hAnsi="宋体" w:eastAsia="宋体" w:cs="宋体"/>
          <w:color w:val="000000" w:themeColor="text1"/>
          <w:spacing w:val="11"/>
          <w:sz w:val="22"/>
          <w:szCs w:val="22"/>
          <w:highlight w:val="none"/>
          <w14:textFill>
            <w14:solidFill>
              <w14:schemeClr w14:val="tx1"/>
            </w14:solidFill>
          </w14:textFill>
        </w:rPr>
        <w:t>3.22有序用电管理办法(发改运行(2011)832号)</w:t>
      </w:r>
    </w:p>
    <w:p>
      <w:pPr>
        <w:spacing w:before="30" w:line="219" w:lineRule="auto"/>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8"/>
          <w:sz w:val="22"/>
          <w:szCs w:val="22"/>
          <w:highlight w:val="none"/>
          <w:lang w:val="en-US" w:eastAsia="zh-CN"/>
          <w14:textFill>
            <w14:solidFill>
              <w14:schemeClr w14:val="tx1"/>
            </w14:solidFill>
          </w14:textFill>
        </w:rPr>
        <w:t>1</w:t>
      </w:r>
      <w:r>
        <w:rPr>
          <w:rFonts w:ascii="宋体" w:hAnsi="宋体" w:eastAsia="宋体" w:cs="宋体"/>
          <w:color w:val="000000" w:themeColor="text1"/>
          <w:spacing w:val="8"/>
          <w:sz w:val="22"/>
          <w:szCs w:val="22"/>
          <w:highlight w:val="none"/>
          <w14:textFill>
            <w14:solidFill>
              <w14:schemeClr w14:val="tx1"/>
            </w14:solidFill>
          </w14:textFill>
        </w:rPr>
        <w:t>.</w:t>
      </w:r>
      <w:r>
        <w:rPr>
          <w:rFonts w:hint="eastAsia" w:ascii="宋体" w:hAnsi="宋体" w:eastAsia="宋体" w:cs="宋体"/>
          <w:color w:val="000000" w:themeColor="text1"/>
          <w:spacing w:val="8"/>
          <w:sz w:val="22"/>
          <w:szCs w:val="22"/>
          <w:highlight w:val="none"/>
          <w:lang w:val="en-US" w:eastAsia="zh-CN"/>
          <w14:textFill>
            <w14:solidFill>
              <w14:schemeClr w14:val="tx1"/>
            </w14:solidFill>
          </w14:textFill>
        </w:rPr>
        <w:t>18</w:t>
      </w:r>
      <w:r>
        <w:rPr>
          <w:rFonts w:ascii="宋体" w:hAnsi="宋体" w:eastAsia="宋体" w:cs="宋体"/>
          <w:color w:val="000000" w:themeColor="text1"/>
          <w:spacing w:val="8"/>
          <w:sz w:val="22"/>
          <w:szCs w:val="22"/>
          <w:highlight w:val="none"/>
          <w14:textFill>
            <w14:solidFill>
              <w14:schemeClr w14:val="tx1"/>
            </w14:solidFill>
          </w14:textFill>
        </w:rPr>
        <w:t>供电企业信息公开实施办法(国能监管(2</w:t>
      </w:r>
      <w:r>
        <w:rPr>
          <w:rFonts w:ascii="宋体" w:hAnsi="宋体" w:eastAsia="宋体" w:cs="宋体"/>
          <w:color w:val="000000" w:themeColor="text1"/>
          <w:spacing w:val="7"/>
          <w:sz w:val="22"/>
          <w:szCs w:val="22"/>
          <w:highlight w:val="none"/>
          <w14:textFill>
            <w14:solidFill>
              <w14:schemeClr w14:val="tx1"/>
            </w14:solidFill>
          </w14:textFill>
        </w:rPr>
        <w:t>014)149号)</w:t>
      </w:r>
    </w:p>
    <w:p>
      <w:pPr>
        <w:spacing w:before="51" w:line="219" w:lineRule="auto"/>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pacing w:val="9"/>
          <w:sz w:val="22"/>
          <w:szCs w:val="22"/>
          <w:highlight w:val="none"/>
          <w:lang w:val="en-US" w:eastAsia="zh-CN"/>
          <w14:textFill>
            <w14:solidFill>
              <w14:schemeClr w14:val="tx1"/>
            </w14:solidFill>
          </w14:textFill>
        </w:rPr>
        <w:t>1</w:t>
      </w:r>
      <w:r>
        <w:rPr>
          <w:rFonts w:ascii="宋体" w:hAnsi="宋体" w:eastAsia="宋体" w:cs="宋体"/>
          <w:color w:val="000000" w:themeColor="text1"/>
          <w:spacing w:val="9"/>
          <w:sz w:val="22"/>
          <w:szCs w:val="22"/>
          <w:highlight w:val="none"/>
          <w14:textFill>
            <w14:solidFill>
              <w14:schemeClr w14:val="tx1"/>
            </w14:solidFill>
          </w14:textFill>
        </w:rPr>
        <w:t>.</w:t>
      </w:r>
      <w:r>
        <w:rPr>
          <w:rFonts w:hint="eastAsia" w:ascii="宋体" w:hAnsi="宋体" w:eastAsia="宋体" w:cs="宋体"/>
          <w:color w:val="000000" w:themeColor="text1"/>
          <w:spacing w:val="9"/>
          <w:sz w:val="22"/>
          <w:szCs w:val="22"/>
          <w:highlight w:val="none"/>
          <w:lang w:val="en-US" w:eastAsia="zh-CN"/>
          <w14:textFill>
            <w14:solidFill>
              <w14:schemeClr w14:val="tx1"/>
            </w14:solidFill>
          </w14:textFill>
        </w:rPr>
        <w:t>19</w:t>
      </w:r>
      <w:r>
        <w:rPr>
          <w:rFonts w:ascii="宋体" w:hAnsi="宋体" w:eastAsia="宋体" w:cs="宋体"/>
          <w:color w:val="000000" w:themeColor="text1"/>
          <w:spacing w:val="9"/>
          <w:sz w:val="22"/>
          <w:szCs w:val="22"/>
          <w:highlight w:val="none"/>
          <w14:textFill>
            <w14:solidFill>
              <w14:schemeClr w14:val="tx1"/>
            </w14:solidFill>
          </w14:textFill>
        </w:rPr>
        <w:t>承装(修、试)电力设施许可证监督管理实施办法(电监资质(2012)2</w:t>
      </w:r>
      <w:r>
        <w:rPr>
          <w:rFonts w:ascii="宋体" w:hAnsi="宋体" w:eastAsia="宋体" w:cs="宋体"/>
          <w:color w:val="000000" w:themeColor="text1"/>
          <w:spacing w:val="8"/>
          <w:sz w:val="22"/>
          <w:szCs w:val="22"/>
          <w:highlight w:val="none"/>
          <w14:textFill>
            <w14:solidFill>
              <w14:schemeClr w14:val="tx1"/>
            </w14:solidFill>
          </w14:textFill>
        </w:rPr>
        <w:t>4号)</w:t>
      </w:r>
    </w:p>
    <w:p>
      <w:pPr>
        <w:pStyle w:val="60"/>
        <w:adjustRightInd w:val="0"/>
        <w:snapToGrid w:val="0"/>
        <w:spacing w:line="360" w:lineRule="auto"/>
        <w:rPr>
          <w:rFonts w:hint="eastAsia" w:ascii="宋体" w:hAnsi="宋体" w:cs="Arial"/>
          <w:color w:val="000000" w:themeColor="text1"/>
          <w:kern w:val="2"/>
          <w:sz w:val="21"/>
          <w:szCs w:val="21"/>
          <w:highlight w:val="none"/>
          <w14:textFill>
            <w14:solidFill>
              <w14:schemeClr w14:val="tx1"/>
            </w14:solidFill>
          </w14:textFill>
        </w:rPr>
      </w:pPr>
    </w:p>
    <w:p>
      <w:pPr>
        <w:pStyle w:val="3"/>
        <w:rPr>
          <w:rFonts w:hint="eastAsia" w:ascii="宋体" w:hAnsi="宋体" w:eastAsia="宋体" w:cstheme="minorBidi"/>
          <w:b/>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1"/>
          <w:szCs w:val="21"/>
          <w:highlight w:val="none"/>
          <w:lang w:val="en-US" w:eastAsia="zh-CN" w:bidi="ar-SA"/>
          <w14:textFill>
            <w14:solidFill>
              <w14:schemeClr w14:val="tx1"/>
            </w14:solidFill>
          </w14:textFill>
        </w:rPr>
        <w:t>4.4</w:t>
      </w:r>
      <w:r>
        <w:rPr>
          <w:rFonts w:hint="eastAsia" w:ascii="宋体" w:hAnsi="宋体" w:eastAsia="宋体" w:cstheme="minorBidi"/>
          <w:b/>
          <w:bCs/>
          <w:color w:val="000000" w:themeColor="text1"/>
          <w:kern w:val="2"/>
          <w:sz w:val="21"/>
          <w:szCs w:val="21"/>
          <w:highlight w:val="none"/>
          <w:lang w:val="zh-CN" w:eastAsia="zh-CN" w:bidi="ar-SA"/>
          <w14:textFill>
            <w14:solidFill>
              <w14:schemeClr w14:val="tx1"/>
            </w14:solidFill>
          </w14:textFill>
        </w:rPr>
        <w:t>维护与服务要求</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w:t>
      </w:r>
      <w:r>
        <w:rPr>
          <w:rFonts w:ascii="Times New Roman" w:hAnsi="Times New Roman" w:eastAsia="宋体"/>
          <w:color w:val="000000" w:themeColor="text1"/>
          <w:highlight w:val="none"/>
          <w14:textFill>
            <w14:solidFill>
              <w14:schemeClr w14:val="tx1"/>
            </w14:solidFill>
          </w14:textFill>
        </w:rPr>
        <w:t xml:space="preserve">1）技术维护 </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投标人应向采购人提供包括热线咨询、现场指导、现场实施、故障排除等各种技术服务，</w:t>
      </w:r>
      <w:r>
        <w:rPr>
          <w:rFonts w:ascii="Times New Roman" w:hAnsi="Times New Roman" w:eastAsia="宋体"/>
          <w:color w:val="000000" w:themeColor="text1"/>
          <w:highlight w:val="none"/>
          <w14:textFill>
            <w14:solidFill>
              <w14:schemeClr w14:val="tx1"/>
            </w14:solidFill>
          </w14:textFill>
        </w:rPr>
        <w:t>随时解答项目单位的问题，项目单位可直接与投标人有关技术人员定期和不定期</w:t>
      </w:r>
      <w:r>
        <w:rPr>
          <w:rFonts w:hint="eastAsia" w:ascii="Times New Roman" w:hAnsi="Times New Roman" w:eastAsia="宋体"/>
          <w:color w:val="000000" w:themeColor="text1"/>
          <w:highlight w:val="none"/>
          <w14:textFill>
            <w14:solidFill>
              <w14:schemeClr w14:val="tx1"/>
            </w14:solidFill>
          </w14:textFill>
        </w:rPr>
        <w:t>地</w:t>
      </w:r>
      <w:r>
        <w:rPr>
          <w:rFonts w:ascii="Times New Roman" w:hAnsi="Times New Roman" w:eastAsia="宋体"/>
          <w:color w:val="000000" w:themeColor="text1"/>
          <w:highlight w:val="none"/>
          <w14:textFill>
            <w14:solidFill>
              <w14:schemeClr w14:val="tx1"/>
            </w14:solidFill>
          </w14:textFill>
        </w:rPr>
        <w:t>进行技术咨询和联络；</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w:t>
      </w:r>
      <w:r>
        <w:rPr>
          <w:rFonts w:ascii="Times New Roman" w:hAnsi="Times New Roman" w:eastAsia="宋体"/>
          <w:color w:val="000000" w:themeColor="text1"/>
          <w:highlight w:val="none"/>
          <w14:textFill>
            <w14:solidFill>
              <w14:schemeClr w14:val="tx1"/>
            </w14:solidFill>
          </w14:textFill>
        </w:rPr>
        <w:t>2）服务响应</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投标人应在应答文件中承诺：在</w:t>
      </w:r>
      <w:r>
        <w:rPr>
          <w:rFonts w:hint="eastAsia" w:ascii="Times New Roman" w:hAnsi="Times New Roman" w:eastAsia="宋体"/>
          <w:color w:val="000000" w:themeColor="text1"/>
          <w:highlight w:val="none"/>
          <w:lang w:val="en-US" w:eastAsia="zh-CN"/>
          <w14:textFill>
            <w14:solidFill>
              <w14:schemeClr w14:val="tx1"/>
            </w14:solidFill>
          </w14:textFill>
        </w:rPr>
        <w:t>服务期</w:t>
      </w:r>
      <w:r>
        <w:rPr>
          <w:rFonts w:hint="eastAsia" w:ascii="Times New Roman" w:hAnsi="Times New Roman" w:eastAsia="宋体"/>
          <w:color w:val="000000" w:themeColor="text1"/>
          <w:highlight w:val="none"/>
          <w14:textFill>
            <w14:solidFill>
              <w14:schemeClr w14:val="tx1"/>
            </w14:solidFill>
          </w14:textFill>
        </w:rPr>
        <w:t>内，对于出现的故障</w:t>
      </w:r>
      <w:r>
        <w:rPr>
          <w:rFonts w:ascii="Times New Roman" w:hAnsi="Times New Roman" w:eastAsia="宋体"/>
          <w:color w:val="000000" w:themeColor="text1"/>
          <w:highlight w:val="none"/>
          <w14:textFill>
            <w14:solidFill>
              <w14:schemeClr w14:val="tx1"/>
            </w14:solidFill>
          </w14:textFill>
        </w:rPr>
        <w:t>，即在接到故障报修电话</w:t>
      </w:r>
      <w:r>
        <w:rPr>
          <w:rFonts w:hint="eastAsia" w:ascii="Times New Roman" w:hAnsi="Times New Roman" w:eastAsia="宋体"/>
          <w:color w:val="000000" w:themeColor="text1"/>
          <w:highlight w:val="none"/>
          <w:lang w:val="en-US" w:eastAsia="zh-CN"/>
          <w14:textFill>
            <w14:solidFill>
              <w14:schemeClr w14:val="tx1"/>
            </w14:solidFill>
          </w14:textFill>
        </w:rPr>
        <w:t>60分钟</w:t>
      </w:r>
      <w:r>
        <w:rPr>
          <w:rFonts w:ascii="Times New Roman" w:hAnsi="Times New Roman" w:eastAsia="宋体"/>
          <w:color w:val="000000" w:themeColor="text1"/>
          <w:highlight w:val="none"/>
          <w14:textFill>
            <w14:solidFill>
              <w14:schemeClr w14:val="tx1"/>
            </w14:solidFill>
          </w14:textFill>
        </w:rPr>
        <w:t>内</w:t>
      </w:r>
      <w:r>
        <w:rPr>
          <w:rFonts w:hint="eastAsia" w:ascii="Times New Roman" w:hAnsi="Times New Roman" w:eastAsia="宋体"/>
          <w:color w:val="000000" w:themeColor="text1"/>
          <w:highlight w:val="none"/>
          <w14:textFill>
            <w14:solidFill>
              <w14:schemeClr w14:val="tx1"/>
            </w14:solidFill>
          </w14:textFill>
        </w:rPr>
        <w:t>作</w:t>
      </w:r>
      <w:r>
        <w:rPr>
          <w:rFonts w:ascii="Times New Roman" w:hAnsi="Times New Roman" w:eastAsia="宋体"/>
          <w:color w:val="000000" w:themeColor="text1"/>
          <w:highlight w:val="none"/>
          <w14:textFill>
            <w14:solidFill>
              <w14:schemeClr w14:val="tx1"/>
            </w14:solidFill>
          </w14:textFill>
        </w:rPr>
        <w:t>出实质响应，若未能解决故障，投标人应启动更高级别的响应服务。</w:t>
      </w:r>
    </w:p>
    <w:p>
      <w:pPr>
        <w:pStyle w:val="3"/>
        <w:rPr>
          <w:rFonts w:hint="eastAsia" w:ascii="宋体" w:hAnsi="宋体" w:eastAsia="宋体" w:cstheme="minorBidi"/>
          <w:b/>
          <w:bCs/>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theme="minorBidi"/>
          <w:b/>
          <w:bCs/>
          <w:color w:val="000000" w:themeColor="text1"/>
          <w:kern w:val="2"/>
          <w:sz w:val="21"/>
          <w:szCs w:val="21"/>
          <w:highlight w:val="none"/>
          <w:lang w:val="en-US" w:eastAsia="zh-CN" w:bidi="ar-SA"/>
          <w14:textFill>
            <w14:solidFill>
              <w14:schemeClr w14:val="tx1"/>
            </w14:solidFill>
          </w14:textFill>
        </w:rPr>
        <w:t>4.5</w:t>
      </w:r>
      <w:r>
        <w:rPr>
          <w:rFonts w:hint="eastAsia" w:ascii="宋体" w:hAnsi="宋体" w:eastAsia="宋体" w:cstheme="minorBidi"/>
          <w:b/>
          <w:bCs/>
          <w:color w:val="000000" w:themeColor="text1"/>
          <w:kern w:val="2"/>
          <w:sz w:val="21"/>
          <w:szCs w:val="21"/>
          <w:highlight w:val="none"/>
          <w:lang w:val="zh-CN" w:eastAsia="zh-CN" w:bidi="ar-SA"/>
          <w14:textFill>
            <w14:solidFill>
              <w14:schemeClr w14:val="tx1"/>
            </w14:solidFill>
          </w14:textFill>
        </w:rPr>
        <w:t>项目管理要求</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4.</w:t>
      </w:r>
      <w:r>
        <w:rPr>
          <w:rFonts w:hint="eastAsia" w:ascii="Times New Roman" w:hAnsi="Times New Roman" w:eastAsia="宋体"/>
          <w:color w:val="000000" w:themeColor="text1"/>
          <w:highlight w:val="none"/>
          <w:lang w:val="en-US" w:eastAsia="zh-CN"/>
          <w14:textFill>
            <w14:solidFill>
              <w14:schemeClr w14:val="tx1"/>
            </w14:solidFill>
          </w14:textFill>
        </w:rPr>
        <w:t>5.1</w:t>
      </w:r>
      <w:r>
        <w:rPr>
          <w:rFonts w:ascii="Times New Roman" w:hAnsi="Times New Roman" w:eastAsia="宋体"/>
          <w:color w:val="000000" w:themeColor="text1"/>
          <w:highlight w:val="none"/>
          <w14:textFill>
            <w14:solidFill>
              <w14:schemeClr w14:val="tx1"/>
            </w14:solidFill>
          </w14:textFill>
        </w:rPr>
        <w:t xml:space="preserve"> 人员管理要求</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w:t>
      </w:r>
      <w:r>
        <w:rPr>
          <w:rFonts w:ascii="Times New Roman" w:hAnsi="Times New Roman" w:eastAsia="宋体"/>
          <w:color w:val="000000" w:themeColor="text1"/>
          <w:highlight w:val="none"/>
          <w14:textFill>
            <w14:solidFill>
              <w14:schemeClr w14:val="tx1"/>
            </w14:solidFill>
          </w14:textFill>
        </w:rPr>
        <w:t>1</w:t>
      </w:r>
      <w:r>
        <w:rPr>
          <w:rFonts w:hint="eastAsia" w:ascii="Times New Roman" w:hAnsi="Times New Roman" w:eastAsia="宋体"/>
          <w:color w:val="000000" w:themeColor="text1"/>
          <w:highlight w:val="none"/>
          <w14:textFill>
            <w14:solidFill>
              <w14:schemeClr w14:val="tx1"/>
            </w14:solidFill>
          </w14:textFill>
        </w:rPr>
        <w:t>）</w:t>
      </w:r>
      <w:r>
        <w:rPr>
          <w:rFonts w:ascii="Times New Roman" w:hAnsi="Times New Roman" w:eastAsia="宋体"/>
          <w:color w:val="000000" w:themeColor="text1"/>
          <w:highlight w:val="none"/>
          <w14:textFill>
            <w14:solidFill>
              <w14:schemeClr w14:val="tx1"/>
            </w14:solidFill>
          </w14:textFill>
        </w:rPr>
        <w:t>人员稳定性保证</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采购方</w:t>
      </w:r>
      <w:r>
        <w:rPr>
          <w:rFonts w:hint="eastAsia" w:ascii="Times New Roman" w:hAnsi="Times New Roman" w:eastAsia="宋体"/>
          <w:color w:val="000000" w:themeColor="text1"/>
          <w:highlight w:val="none"/>
          <w14:textFill>
            <w14:solidFill>
              <w14:schemeClr w14:val="tx1"/>
            </w14:solidFill>
          </w14:textFill>
        </w:rPr>
        <w:t>应在投标文件中明确到现场实施的人数，且主要人员稳定。</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采购方</w:t>
      </w:r>
      <w:r>
        <w:rPr>
          <w:rFonts w:hint="eastAsia" w:ascii="Times New Roman" w:hAnsi="Times New Roman" w:eastAsia="宋体"/>
          <w:color w:val="000000" w:themeColor="text1"/>
          <w:highlight w:val="none"/>
          <w14:textFill>
            <w14:solidFill>
              <w14:schemeClr w14:val="tx1"/>
            </w14:solidFill>
          </w14:textFill>
        </w:rPr>
        <w:t>认为需要更换</w:t>
      </w:r>
      <w:r>
        <w:rPr>
          <w:rFonts w:hint="eastAsia" w:ascii="Times New Roman" w:hAnsi="Times New Roman" w:eastAsia="宋体"/>
          <w:color w:val="000000" w:themeColor="text1"/>
          <w:highlight w:val="none"/>
          <w:lang w:eastAsia="zh-CN"/>
          <w14:textFill>
            <w14:solidFill>
              <w14:schemeClr w14:val="tx1"/>
            </w14:solidFill>
          </w14:textFill>
        </w:rPr>
        <w:t>采购方</w:t>
      </w:r>
      <w:r>
        <w:rPr>
          <w:rFonts w:hint="eastAsia" w:ascii="Times New Roman" w:hAnsi="Times New Roman" w:eastAsia="宋体"/>
          <w:color w:val="000000" w:themeColor="text1"/>
          <w:highlight w:val="none"/>
          <w14:textFill>
            <w14:solidFill>
              <w14:schemeClr w14:val="tx1"/>
            </w14:solidFill>
          </w14:textFill>
        </w:rPr>
        <w:t>项目经理或项目团队成员时，应提早一个月向招标方申明原因，</w:t>
      </w:r>
      <w:r>
        <w:rPr>
          <w:rFonts w:hint="eastAsia" w:ascii="Times New Roman" w:hAnsi="Times New Roman" w:eastAsia="宋体"/>
          <w:color w:val="000000" w:themeColor="text1"/>
          <w:highlight w:val="none"/>
          <w:lang w:eastAsia="zh-CN"/>
          <w14:textFill>
            <w14:solidFill>
              <w14:schemeClr w14:val="tx1"/>
            </w14:solidFill>
          </w14:textFill>
        </w:rPr>
        <w:t>采购方</w:t>
      </w:r>
      <w:r>
        <w:rPr>
          <w:rFonts w:hint="eastAsia" w:ascii="Times New Roman" w:hAnsi="Times New Roman" w:eastAsia="宋体"/>
          <w:color w:val="000000" w:themeColor="text1"/>
          <w:highlight w:val="none"/>
          <w14:textFill>
            <w14:solidFill>
              <w14:schemeClr w14:val="tx1"/>
            </w14:solidFill>
          </w14:textFill>
        </w:rPr>
        <w:t>应在同时提出新的符合合同要求的项目经理和项目团队成员人选，</w:t>
      </w:r>
      <w:r>
        <w:rPr>
          <w:rFonts w:ascii="Times New Roman" w:hAnsi="Times New Roman" w:eastAsia="宋体"/>
          <w:color w:val="000000" w:themeColor="text1"/>
          <w:highlight w:val="none"/>
          <w14:textFill>
            <w14:solidFill>
              <w14:schemeClr w14:val="tx1"/>
            </w14:solidFill>
          </w14:textFill>
        </w:rPr>
        <w:t>人员入场后，需与被替换的服务人员进行工作交接至少1</w:t>
      </w:r>
      <w:r>
        <w:rPr>
          <w:rFonts w:hint="eastAsia" w:ascii="Times New Roman" w:hAnsi="Times New Roman" w:eastAsia="宋体"/>
          <w:color w:val="000000" w:themeColor="text1"/>
          <w:highlight w:val="none"/>
          <w:lang w:val="en-US" w:eastAsia="zh-CN"/>
          <w14:textFill>
            <w14:solidFill>
              <w14:schemeClr w14:val="tx1"/>
            </w14:solidFill>
          </w14:textFill>
        </w:rPr>
        <w:t>0</w:t>
      </w:r>
      <w:r>
        <w:rPr>
          <w:rFonts w:ascii="Times New Roman" w:hAnsi="Times New Roman" w:eastAsia="宋体"/>
          <w:color w:val="000000" w:themeColor="text1"/>
          <w:highlight w:val="none"/>
          <w14:textFill>
            <w14:solidFill>
              <w14:schemeClr w14:val="tx1"/>
            </w14:solidFill>
          </w14:textFill>
        </w:rPr>
        <w:t>个工作日</w:t>
      </w:r>
      <w:r>
        <w:rPr>
          <w:rFonts w:hint="eastAsia" w:ascii="Times New Roman" w:hAnsi="Times New Roman" w:eastAsia="宋体"/>
          <w:color w:val="000000" w:themeColor="text1"/>
          <w:highlight w:val="none"/>
          <w14:textFill>
            <w14:solidFill>
              <w14:schemeClr w14:val="tx1"/>
            </w14:solidFill>
          </w14:textFill>
        </w:rPr>
        <w:t>，经招标方同意并办理交接手续后方可更换，</w:t>
      </w:r>
      <w:r>
        <w:rPr>
          <w:rFonts w:ascii="Times New Roman" w:hAnsi="Times New Roman" w:eastAsia="宋体"/>
          <w:color w:val="000000" w:themeColor="text1"/>
          <w:highlight w:val="none"/>
          <w14:textFill>
            <w14:solidFill>
              <w14:schemeClr w14:val="tx1"/>
            </w14:solidFill>
          </w14:textFill>
        </w:rPr>
        <w:t>否则按私自离岗进行违章处理</w:t>
      </w:r>
      <w:r>
        <w:rPr>
          <w:rFonts w:hint="eastAsia" w:ascii="Times New Roman" w:hAnsi="Times New Roman" w:eastAsia="宋体"/>
          <w:color w:val="000000" w:themeColor="text1"/>
          <w:highlight w:val="none"/>
          <w14:textFill>
            <w14:solidFill>
              <w14:schemeClr w14:val="tx1"/>
            </w14:solidFill>
          </w14:textFill>
        </w:rPr>
        <w:t>。</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采购方</w:t>
      </w:r>
      <w:r>
        <w:rPr>
          <w:rFonts w:hint="eastAsia" w:ascii="Times New Roman" w:hAnsi="Times New Roman" w:eastAsia="宋体"/>
          <w:color w:val="000000" w:themeColor="text1"/>
          <w:highlight w:val="none"/>
          <w14:textFill>
            <w14:solidFill>
              <w14:schemeClr w14:val="tx1"/>
            </w14:solidFill>
          </w14:textFill>
        </w:rPr>
        <w:t>更换项目经理、项目团队成员给招标方造成损失的，招标方保留追究责任和获取赔偿的权利。</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w:t>
      </w:r>
      <w:r>
        <w:rPr>
          <w:rFonts w:ascii="Times New Roman" w:hAnsi="Times New Roman" w:eastAsia="宋体"/>
          <w:color w:val="000000" w:themeColor="text1"/>
          <w:highlight w:val="none"/>
          <w14:textFill>
            <w14:solidFill>
              <w14:schemeClr w14:val="tx1"/>
            </w14:solidFill>
          </w14:textFill>
        </w:rPr>
        <w:t>2</w:t>
      </w:r>
      <w:r>
        <w:rPr>
          <w:rFonts w:hint="eastAsia" w:ascii="Times New Roman" w:hAnsi="Times New Roman" w:eastAsia="宋体"/>
          <w:color w:val="000000" w:themeColor="text1"/>
          <w:highlight w:val="none"/>
          <w14:textFill>
            <w14:solidFill>
              <w14:schemeClr w14:val="tx1"/>
            </w14:solidFill>
          </w14:textFill>
        </w:rPr>
        <w:t>）</w:t>
      </w:r>
      <w:r>
        <w:rPr>
          <w:rFonts w:ascii="Times New Roman" w:hAnsi="Times New Roman" w:eastAsia="宋体"/>
          <w:color w:val="000000" w:themeColor="text1"/>
          <w:highlight w:val="none"/>
          <w14:textFill>
            <w14:solidFill>
              <w14:schemeClr w14:val="tx1"/>
            </w14:solidFill>
          </w14:textFill>
        </w:rPr>
        <w:t>人员工作经验保证</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采购方</w:t>
      </w:r>
      <w:r>
        <w:rPr>
          <w:rFonts w:hint="eastAsia" w:ascii="Times New Roman" w:hAnsi="Times New Roman" w:eastAsia="宋体"/>
          <w:color w:val="000000" w:themeColor="text1"/>
          <w:highlight w:val="none"/>
          <w14:textFill>
            <w14:solidFill>
              <w14:schemeClr w14:val="tx1"/>
            </w14:solidFill>
          </w14:textFill>
        </w:rPr>
        <w:t>要建立实施该项目的组织架构，要求具有相关专业素质的人员，确保队伍人员的相对稳定，满足业务的实际需要，人员的变更要与</w:t>
      </w:r>
      <w:r>
        <w:rPr>
          <w:rFonts w:hint="eastAsia" w:ascii="Times New Roman" w:hAnsi="Times New Roman" w:eastAsia="宋体"/>
          <w:color w:val="000000" w:themeColor="text1"/>
          <w:highlight w:val="none"/>
          <w:lang w:val="en-US" w:eastAsia="zh-CN"/>
          <w14:textFill>
            <w14:solidFill>
              <w14:schemeClr w14:val="tx1"/>
            </w14:solidFill>
          </w14:textFill>
        </w:rPr>
        <w:t>采购方</w:t>
      </w:r>
      <w:r>
        <w:rPr>
          <w:rFonts w:hint="eastAsia" w:ascii="Times New Roman" w:hAnsi="Times New Roman" w:eastAsia="宋体"/>
          <w:color w:val="000000" w:themeColor="text1"/>
          <w:highlight w:val="none"/>
          <w14:textFill>
            <w14:solidFill>
              <w14:schemeClr w14:val="tx1"/>
            </w14:solidFill>
          </w14:textFill>
        </w:rPr>
        <w:t>进行及时的沟通和协调。</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4</w:t>
      </w:r>
      <w:r>
        <w:rPr>
          <w:rFonts w:hint="eastAsia" w:ascii="Times New Roman" w:hAnsi="Times New Roman" w:eastAsia="宋体"/>
          <w:color w:val="000000" w:themeColor="text1"/>
          <w:highlight w:val="none"/>
          <w:lang w:val="en-US" w:eastAsia="zh-CN"/>
          <w14:textFill>
            <w14:solidFill>
              <w14:schemeClr w14:val="tx1"/>
            </w14:solidFill>
          </w14:textFill>
        </w:rPr>
        <w:t>.5.2</w:t>
      </w:r>
      <w:r>
        <w:rPr>
          <w:rFonts w:ascii="Times New Roman" w:hAnsi="Times New Roman" w:eastAsia="宋体"/>
          <w:color w:val="000000" w:themeColor="text1"/>
          <w:highlight w:val="none"/>
          <w14:textFill>
            <w14:solidFill>
              <w14:schemeClr w14:val="tx1"/>
            </w14:solidFill>
          </w14:textFill>
        </w:rPr>
        <w:t xml:space="preserve"> </w:t>
      </w:r>
      <w:r>
        <w:rPr>
          <w:rFonts w:hint="eastAsia" w:ascii="Times New Roman" w:hAnsi="Times New Roman" w:eastAsia="宋体"/>
          <w:color w:val="000000" w:themeColor="text1"/>
          <w:highlight w:val="none"/>
          <w14:textFill>
            <w14:solidFill>
              <w14:schemeClr w14:val="tx1"/>
            </w14:solidFill>
          </w14:textFill>
        </w:rPr>
        <w:t>项目实施地点</w:t>
      </w:r>
    </w:p>
    <w:p>
      <w:pPr>
        <w:snapToGrid w:val="0"/>
        <w:spacing w:line="400" w:lineRule="exact"/>
        <w:ind w:firstLine="420" w:firstLineChars="200"/>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内蒙古自治区伊金霍洛旗远景变电站。</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4.</w:t>
      </w:r>
      <w:r>
        <w:rPr>
          <w:rFonts w:hint="eastAsia" w:ascii="Times New Roman" w:hAnsi="Times New Roman" w:eastAsia="宋体"/>
          <w:color w:val="000000" w:themeColor="text1"/>
          <w:highlight w:val="none"/>
          <w:lang w:val="en-US" w:eastAsia="zh-CN"/>
          <w14:textFill>
            <w14:solidFill>
              <w14:schemeClr w14:val="tx1"/>
            </w14:solidFill>
          </w14:textFill>
        </w:rPr>
        <w:t>5.3</w:t>
      </w:r>
      <w:r>
        <w:rPr>
          <w:rFonts w:ascii="Times New Roman" w:hAnsi="Times New Roman" w:eastAsia="宋体"/>
          <w:color w:val="000000" w:themeColor="text1"/>
          <w:highlight w:val="none"/>
          <w14:textFill>
            <w14:solidFill>
              <w14:schemeClr w14:val="tx1"/>
            </w14:solidFill>
          </w14:textFill>
        </w:rPr>
        <w:t xml:space="preserve"> </w:t>
      </w:r>
      <w:r>
        <w:rPr>
          <w:rFonts w:hint="eastAsia" w:ascii="Times New Roman" w:hAnsi="Times New Roman" w:eastAsia="宋体"/>
          <w:color w:val="000000" w:themeColor="text1"/>
          <w:highlight w:val="none"/>
          <w14:textFill>
            <w14:solidFill>
              <w14:schemeClr w14:val="tx1"/>
            </w14:solidFill>
          </w14:textFill>
        </w:rPr>
        <w:t>项目质量管理</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w:t>
      </w:r>
      <w:r>
        <w:rPr>
          <w:rFonts w:ascii="Times New Roman" w:hAnsi="Times New Roman" w:eastAsia="宋体"/>
          <w:color w:val="000000" w:themeColor="text1"/>
          <w:highlight w:val="none"/>
          <w14:textFill>
            <w14:solidFill>
              <w14:schemeClr w14:val="tx1"/>
            </w14:solidFill>
          </w14:textFill>
        </w:rPr>
        <w:t>1</w:t>
      </w:r>
      <w:r>
        <w:rPr>
          <w:rFonts w:hint="eastAsia" w:ascii="Times New Roman" w:hAnsi="Times New Roman" w:eastAsia="宋体"/>
          <w:color w:val="000000" w:themeColor="text1"/>
          <w:highlight w:val="none"/>
          <w14:textFill>
            <w14:solidFill>
              <w14:schemeClr w14:val="tx1"/>
            </w14:solidFill>
          </w14:textFill>
        </w:rPr>
        <w:t>）</w:t>
      </w:r>
      <w:r>
        <w:rPr>
          <w:rFonts w:hint="eastAsia" w:ascii="Times New Roman" w:hAnsi="Times New Roman" w:eastAsia="宋体"/>
          <w:color w:val="000000" w:themeColor="text1"/>
          <w:highlight w:val="none"/>
          <w:lang w:eastAsia="zh-CN"/>
          <w14:textFill>
            <w14:solidFill>
              <w14:schemeClr w14:val="tx1"/>
            </w14:solidFill>
          </w14:textFill>
        </w:rPr>
        <w:t>采购方</w:t>
      </w:r>
      <w:r>
        <w:rPr>
          <w:rFonts w:ascii="Times New Roman" w:hAnsi="Times New Roman" w:eastAsia="宋体"/>
          <w:color w:val="000000" w:themeColor="text1"/>
          <w:highlight w:val="none"/>
          <w14:textFill>
            <w14:solidFill>
              <w14:schemeClr w14:val="tx1"/>
            </w14:solidFill>
          </w14:textFill>
        </w:rPr>
        <w:t>应建立严格的质量保证体系，制定</w:t>
      </w:r>
      <w:r>
        <w:rPr>
          <w:rFonts w:hint="eastAsia" w:ascii="Times New Roman" w:hAnsi="Times New Roman" w:eastAsia="宋体"/>
          <w:color w:val="000000" w:themeColor="text1"/>
          <w:highlight w:val="none"/>
          <w:lang w:val="en-US" w:eastAsia="zh-CN"/>
          <w14:textFill>
            <w14:solidFill>
              <w14:schemeClr w14:val="tx1"/>
            </w14:solidFill>
          </w14:textFill>
        </w:rPr>
        <w:t>变电设备运行</w:t>
      </w:r>
      <w:r>
        <w:rPr>
          <w:rFonts w:ascii="Times New Roman" w:hAnsi="Times New Roman" w:eastAsia="宋体"/>
          <w:color w:val="000000" w:themeColor="text1"/>
          <w:highlight w:val="none"/>
          <w14:textFill>
            <w14:solidFill>
              <w14:schemeClr w14:val="tx1"/>
            </w14:solidFill>
          </w14:textFill>
        </w:rPr>
        <w:t>质量控制方案和实施措施，并督促落实各环节质量控制内容和目标，满足招标方对质量的要求。</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w:t>
      </w:r>
      <w:r>
        <w:rPr>
          <w:rFonts w:hint="eastAsia" w:ascii="Times New Roman" w:hAnsi="Times New Roman" w:eastAsia="宋体"/>
          <w:color w:val="000000" w:themeColor="text1"/>
          <w:highlight w:val="none"/>
          <w:lang w:val="en-US" w:eastAsia="zh-CN"/>
          <w14:textFill>
            <w14:solidFill>
              <w14:schemeClr w14:val="tx1"/>
            </w14:solidFill>
          </w14:textFill>
        </w:rPr>
        <w:t>2</w:t>
      </w:r>
      <w:r>
        <w:rPr>
          <w:rFonts w:hint="eastAsia" w:ascii="Times New Roman" w:hAnsi="Times New Roman" w:eastAsia="宋体"/>
          <w:color w:val="000000" w:themeColor="text1"/>
          <w:highlight w:val="none"/>
          <w14:textFill>
            <w14:solidFill>
              <w14:schemeClr w14:val="tx1"/>
            </w14:solidFill>
          </w14:textFill>
        </w:rPr>
        <w:t>）</w:t>
      </w:r>
      <w:r>
        <w:rPr>
          <w:rFonts w:hint="eastAsia" w:ascii="Times New Roman" w:hAnsi="Times New Roman" w:eastAsia="宋体"/>
          <w:color w:val="000000" w:themeColor="text1"/>
          <w:highlight w:val="none"/>
          <w:lang w:eastAsia="zh-CN"/>
          <w14:textFill>
            <w14:solidFill>
              <w14:schemeClr w14:val="tx1"/>
            </w14:solidFill>
          </w14:textFill>
        </w:rPr>
        <w:t>采购方</w:t>
      </w:r>
      <w:r>
        <w:rPr>
          <w:rFonts w:ascii="Times New Roman" w:hAnsi="Times New Roman" w:eastAsia="宋体"/>
          <w:color w:val="000000" w:themeColor="text1"/>
          <w:highlight w:val="none"/>
          <w14:textFill>
            <w14:solidFill>
              <w14:schemeClr w14:val="tx1"/>
            </w14:solidFill>
          </w14:textFill>
        </w:rPr>
        <w:t>应根据运维体系支持的工作计划，对</w:t>
      </w:r>
      <w:r>
        <w:rPr>
          <w:rFonts w:hint="eastAsia" w:ascii="Times New Roman" w:hAnsi="Times New Roman" w:eastAsia="宋体"/>
          <w:color w:val="000000" w:themeColor="text1"/>
          <w:highlight w:val="none"/>
          <w:lang w:val="en-US" w:eastAsia="zh-CN"/>
          <w14:textFill>
            <w14:solidFill>
              <w14:schemeClr w14:val="tx1"/>
            </w14:solidFill>
          </w14:textFill>
        </w:rPr>
        <w:t>每月</w:t>
      </w:r>
      <w:r>
        <w:rPr>
          <w:rFonts w:ascii="Times New Roman" w:hAnsi="Times New Roman" w:eastAsia="宋体"/>
          <w:color w:val="000000" w:themeColor="text1"/>
          <w:highlight w:val="none"/>
          <w14:textFill>
            <w14:solidFill>
              <w14:schemeClr w14:val="tx1"/>
            </w14:solidFill>
          </w14:textFill>
        </w:rPr>
        <w:t>工作成果进行汇报。通过保证各阶段性成果的质量，最终保证数据治理工作的有序，顺利开展。</w:t>
      </w:r>
    </w:p>
    <w:p>
      <w:pPr>
        <w:pStyle w:val="2"/>
        <w:rPr>
          <w:rFonts w:hint="eastAsia" w:ascii="宋体" w:hAnsi="宋体" w:eastAsia="宋体" w:cstheme="minorBidi"/>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theme="minorBidi"/>
          <w:b/>
          <w:bCs/>
          <w:color w:val="000000" w:themeColor="text1"/>
          <w:kern w:val="2"/>
          <w:sz w:val="21"/>
          <w:szCs w:val="21"/>
          <w:highlight w:val="none"/>
          <w:lang w:val="en-US" w:eastAsia="zh-CN" w:bidi="ar-SA"/>
          <w14:textFill>
            <w14:solidFill>
              <w14:schemeClr w14:val="tx1"/>
            </w14:solidFill>
          </w14:textFill>
        </w:rPr>
        <w:t>4.6</w:t>
      </w:r>
      <w:r>
        <w:rPr>
          <w:rFonts w:hint="eastAsia" w:ascii="宋体" w:hAnsi="宋体" w:eastAsia="宋体" w:cstheme="minorBidi"/>
          <w:b/>
          <w:bCs/>
          <w:color w:val="000000" w:themeColor="text1"/>
          <w:kern w:val="2"/>
          <w:sz w:val="21"/>
          <w:szCs w:val="21"/>
          <w:highlight w:val="none"/>
          <w:lang w:val="en-US" w:eastAsia="zh-CN" w:bidi="ar-SA"/>
          <w14:textFill>
            <w14:solidFill>
              <w14:schemeClr w14:val="tx1"/>
            </w14:solidFill>
          </w14:textFill>
        </w:rPr>
        <w:t>. 验收</w:t>
      </w:r>
    </w:p>
    <w:p>
      <w:pPr>
        <w:snapToGrid w:val="0"/>
        <w:spacing w:line="400" w:lineRule="exact"/>
        <w:ind w:firstLine="42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lang w:eastAsia="zh-CN"/>
          <w14:textFill>
            <w14:solidFill>
              <w14:schemeClr w14:val="tx1"/>
            </w14:solidFill>
          </w14:textFill>
        </w:rPr>
        <w:t>采购方</w:t>
      </w:r>
      <w:r>
        <w:rPr>
          <w:rFonts w:hint="eastAsia" w:ascii="Times New Roman" w:hAnsi="Times New Roman" w:eastAsia="宋体"/>
          <w:color w:val="000000" w:themeColor="text1"/>
          <w:highlight w:val="none"/>
          <w14:textFill>
            <w14:solidFill>
              <w14:schemeClr w14:val="tx1"/>
            </w14:solidFill>
          </w14:textFill>
        </w:rPr>
        <w:t>需在完成本规范书要求的所有</w:t>
      </w:r>
      <w:r>
        <w:rPr>
          <w:rFonts w:hint="eastAsia" w:ascii="Times New Roman" w:hAnsi="Times New Roman" w:eastAsia="宋体"/>
          <w:color w:val="000000" w:themeColor="text1"/>
          <w:highlight w:val="none"/>
          <w:lang w:val="en-US" w:eastAsia="zh-CN"/>
          <w14:textFill>
            <w14:solidFill>
              <w14:schemeClr w14:val="tx1"/>
            </w14:solidFill>
          </w14:textFill>
        </w:rPr>
        <w:t>工作</w:t>
      </w:r>
      <w:r>
        <w:rPr>
          <w:rFonts w:hint="eastAsia" w:ascii="Times New Roman" w:hAnsi="Times New Roman" w:eastAsia="宋体"/>
          <w:color w:val="000000" w:themeColor="text1"/>
          <w:highlight w:val="none"/>
          <w14:textFill>
            <w14:solidFill>
              <w14:schemeClr w14:val="tx1"/>
            </w14:solidFill>
          </w14:textFill>
        </w:rPr>
        <w:t>内容并提交相关交付物后，方可向招标方提出项目验收。招标方收到验收申请后，组织人员进行验收，若验收中出现问题，</w:t>
      </w:r>
      <w:r>
        <w:rPr>
          <w:rFonts w:hint="eastAsia" w:ascii="Times New Roman" w:hAnsi="Times New Roman" w:eastAsia="宋体"/>
          <w:color w:val="000000" w:themeColor="text1"/>
          <w:highlight w:val="none"/>
          <w:lang w:eastAsia="zh-CN"/>
          <w14:textFill>
            <w14:solidFill>
              <w14:schemeClr w14:val="tx1"/>
            </w14:solidFill>
          </w14:textFill>
        </w:rPr>
        <w:t>采购方</w:t>
      </w:r>
      <w:r>
        <w:rPr>
          <w:rFonts w:hint="eastAsia" w:ascii="Times New Roman" w:hAnsi="Times New Roman" w:eastAsia="宋体"/>
          <w:color w:val="000000" w:themeColor="text1"/>
          <w:highlight w:val="none"/>
          <w14:textFill>
            <w14:solidFill>
              <w14:schemeClr w14:val="tx1"/>
            </w14:solidFill>
          </w14:textFill>
        </w:rPr>
        <w:t>应在规定时间内完成修改完整。</w:t>
      </w:r>
      <w:bookmarkStart w:id="41" w:name="_Toc183407552"/>
    </w:p>
    <w:bookmarkEnd w:id="37"/>
    <w:bookmarkEnd w:id="38"/>
    <w:bookmarkEnd w:id="39"/>
    <w:bookmarkEnd w:id="41"/>
    <w:p>
      <w:pPr>
        <w:widowControl/>
        <w:jc w:val="left"/>
        <w:rPr>
          <w:rFonts w:cs="宋体" w:asciiTheme="minorEastAsia" w:hAnsiTheme="minorEastAsia"/>
          <w:color w:val="000000" w:themeColor="text1"/>
          <w:kern w:val="0"/>
          <w:position w:val="-3"/>
          <w:sz w:val="24"/>
          <w:szCs w:val="24"/>
          <w:highlight w:val="none"/>
          <w14:textFill>
            <w14:solidFill>
              <w14:schemeClr w14:val="tx1"/>
            </w14:solidFill>
          </w14:textFill>
        </w:rPr>
      </w:pPr>
      <w:bookmarkStart w:id="42" w:name="_GoBack"/>
      <w:bookmarkEnd w:id="42"/>
    </w:p>
    <w:sectPr>
      <w:footerReference r:id="rId3" w:type="default"/>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MDMyYTUxNThhYzdkOWY4OTM0Njk2Nzg4ZjA5MTEifQ=="/>
  </w:docVars>
  <w:rsids>
    <w:rsidRoot w:val="00DE25CC"/>
    <w:rsid w:val="000118A6"/>
    <w:rsid w:val="00023B5A"/>
    <w:rsid w:val="000713BB"/>
    <w:rsid w:val="0009075B"/>
    <w:rsid w:val="00096C37"/>
    <w:rsid w:val="000B4903"/>
    <w:rsid w:val="000F7535"/>
    <w:rsid w:val="001452EC"/>
    <w:rsid w:val="00174EFE"/>
    <w:rsid w:val="00182B23"/>
    <w:rsid w:val="00186199"/>
    <w:rsid w:val="00195D9E"/>
    <w:rsid w:val="001C048E"/>
    <w:rsid w:val="002323D3"/>
    <w:rsid w:val="0026326A"/>
    <w:rsid w:val="00281D15"/>
    <w:rsid w:val="002A4001"/>
    <w:rsid w:val="002B06D1"/>
    <w:rsid w:val="002C7A09"/>
    <w:rsid w:val="0032181B"/>
    <w:rsid w:val="003235C7"/>
    <w:rsid w:val="00360051"/>
    <w:rsid w:val="00362511"/>
    <w:rsid w:val="00375FDE"/>
    <w:rsid w:val="0041333A"/>
    <w:rsid w:val="00471208"/>
    <w:rsid w:val="0047782F"/>
    <w:rsid w:val="004849B8"/>
    <w:rsid w:val="004D1CFF"/>
    <w:rsid w:val="004E1B92"/>
    <w:rsid w:val="004E68B1"/>
    <w:rsid w:val="00506B24"/>
    <w:rsid w:val="00517ACF"/>
    <w:rsid w:val="00520111"/>
    <w:rsid w:val="00535B85"/>
    <w:rsid w:val="0055508A"/>
    <w:rsid w:val="00557F06"/>
    <w:rsid w:val="005F5B2A"/>
    <w:rsid w:val="006140F3"/>
    <w:rsid w:val="00635A24"/>
    <w:rsid w:val="006402C7"/>
    <w:rsid w:val="006A159A"/>
    <w:rsid w:val="006C0588"/>
    <w:rsid w:val="006F579D"/>
    <w:rsid w:val="00720F40"/>
    <w:rsid w:val="00744270"/>
    <w:rsid w:val="00763D5D"/>
    <w:rsid w:val="0080623E"/>
    <w:rsid w:val="008A359E"/>
    <w:rsid w:val="008C1195"/>
    <w:rsid w:val="008D5B20"/>
    <w:rsid w:val="008D74F3"/>
    <w:rsid w:val="008F0225"/>
    <w:rsid w:val="009145AB"/>
    <w:rsid w:val="00915492"/>
    <w:rsid w:val="009602D4"/>
    <w:rsid w:val="009A5BB8"/>
    <w:rsid w:val="009D2C2F"/>
    <w:rsid w:val="00A20E7D"/>
    <w:rsid w:val="00A23839"/>
    <w:rsid w:val="00A65BC3"/>
    <w:rsid w:val="00A66875"/>
    <w:rsid w:val="00A83151"/>
    <w:rsid w:val="00AA314B"/>
    <w:rsid w:val="00AF0486"/>
    <w:rsid w:val="00AF2C1B"/>
    <w:rsid w:val="00AF6268"/>
    <w:rsid w:val="00B01A0B"/>
    <w:rsid w:val="00B03B81"/>
    <w:rsid w:val="00B06621"/>
    <w:rsid w:val="00B1281C"/>
    <w:rsid w:val="00B30A30"/>
    <w:rsid w:val="00B34348"/>
    <w:rsid w:val="00B41FB5"/>
    <w:rsid w:val="00B74BC7"/>
    <w:rsid w:val="00B90281"/>
    <w:rsid w:val="00B96B7D"/>
    <w:rsid w:val="00BC217E"/>
    <w:rsid w:val="00BF349E"/>
    <w:rsid w:val="00BF4E2F"/>
    <w:rsid w:val="00BF75BB"/>
    <w:rsid w:val="00C159D5"/>
    <w:rsid w:val="00C364FD"/>
    <w:rsid w:val="00C75137"/>
    <w:rsid w:val="00C905EA"/>
    <w:rsid w:val="00CA7F0E"/>
    <w:rsid w:val="00CD42C3"/>
    <w:rsid w:val="00CE22C6"/>
    <w:rsid w:val="00D424E2"/>
    <w:rsid w:val="00D43F22"/>
    <w:rsid w:val="00D52F3F"/>
    <w:rsid w:val="00D80916"/>
    <w:rsid w:val="00D93186"/>
    <w:rsid w:val="00DA0DAB"/>
    <w:rsid w:val="00DA2063"/>
    <w:rsid w:val="00DA4A8A"/>
    <w:rsid w:val="00DE25CC"/>
    <w:rsid w:val="00E03813"/>
    <w:rsid w:val="00E05911"/>
    <w:rsid w:val="00E23464"/>
    <w:rsid w:val="00E33C33"/>
    <w:rsid w:val="00E44898"/>
    <w:rsid w:val="00E535DD"/>
    <w:rsid w:val="00E5590D"/>
    <w:rsid w:val="00E80D3F"/>
    <w:rsid w:val="00E86B47"/>
    <w:rsid w:val="00E86EDD"/>
    <w:rsid w:val="00E87505"/>
    <w:rsid w:val="00EA06C4"/>
    <w:rsid w:val="00EB757E"/>
    <w:rsid w:val="00F52A8D"/>
    <w:rsid w:val="00F714A7"/>
    <w:rsid w:val="00F7597D"/>
    <w:rsid w:val="00F96BF6"/>
    <w:rsid w:val="00FB269E"/>
    <w:rsid w:val="00FD5EAF"/>
    <w:rsid w:val="010410D3"/>
    <w:rsid w:val="01145609"/>
    <w:rsid w:val="01192336"/>
    <w:rsid w:val="012D0479"/>
    <w:rsid w:val="01380EE5"/>
    <w:rsid w:val="013A5464"/>
    <w:rsid w:val="013A706B"/>
    <w:rsid w:val="014C6B51"/>
    <w:rsid w:val="01573FF6"/>
    <w:rsid w:val="01A00569"/>
    <w:rsid w:val="01B84D0D"/>
    <w:rsid w:val="01BA01EB"/>
    <w:rsid w:val="01C2329C"/>
    <w:rsid w:val="01D1665F"/>
    <w:rsid w:val="01D66B14"/>
    <w:rsid w:val="01F81F9E"/>
    <w:rsid w:val="020A44BC"/>
    <w:rsid w:val="020F2B2A"/>
    <w:rsid w:val="02186A33"/>
    <w:rsid w:val="022B41D0"/>
    <w:rsid w:val="02313F99"/>
    <w:rsid w:val="02382CD3"/>
    <w:rsid w:val="023C4E17"/>
    <w:rsid w:val="02502671"/>
    <w:rsid w:val="027A5F6D"/>
    <w:rsid w:val="0284231A"/>
    <w:rsid w:val="02A912FA"/>
    <w:rsid w:val="02B01361"/>
    <w:rsid w:val="02DB63F2"/>
    <w:rsid w:val="02FE17C7"/>
    <w:rsid w:val="02FE20CD"/>
    <w:rsid w:val="032D29B2"/>
    <w:rsid w:val="033B4F15"/>
    <w:rsid w:val="0361265C"/>
    <w:rsid w:val="037B7BC0"/>
    <w:rsid w:val="03A10C87"/>
    <w:rsid w:val="03B629A7"/>
    <w:rsid w:val="03B82809"/>
    <w:rsid w:val="03C2134C"/>
    <w:rsid w:val="03EB082C"/>
    <w:rsid w:val="04067B95"/>
    <w:rsid w:val="041063B8"/>
    <w:rsid w:val="04245B63"/>
    <w:rsid w:val="042E6481"/>
    <w:rsid w:val="043B2EAD"/>
    <w:rsid w:val="044E0E32"/>
    <w:rsid w:val="044F274E"/>
    <w:rsid w:val="048D679A"/>
    <w:rsid w:val="04A07B9A"/>
    <w:rsid w:val="04A86A92"/>
    <w:rsid w:val="04AE5F08"/>
    <w:rsid w:val="04C609C8"/>
    <w:rsid w:val="04F548E2"/>
    <w:rsid w:val="04F55751"/>
    <w:rsid w:val="04F574FF"/>
    <w:rsid w:val="05113F0C"/>
    <w:rsid w:val="051E5FA2"/>
    <w:rsid w:val="05530369"/>
    <w:rsid w:val="056C474B"/>
    <w:rsid w:val="05B03C7D"/>
    <w:rsid w:val="05D5437B"/>
    <w:rsid w:val="05EA4B8A"/>
    <w:rsid w:val="0607673B"/>
    <w:rsid w:val="06136BF4"/>
    <w:rsid w:val="063527A6"/>
    <w:rsid w:val="064E5119"/>
    <w:rsid w:val="06691F53"/>
    <w:rsid w:val="068B011B"/>
    <w:rsid w:val="06AF36B8"/>
    <w:rsid w:val="06B15932"/>
    <w:rsid w:val="06C02495"/>
    <w:rsid w:val="06C2050F"/>
    <w:rsid w:val="06C5159E"/>
    <w:rsid w:val="06EA441B"/>
    <w:rsid w:val="06F04422"/>
    <w:rsid w:val="06F07F7E"/>
    <w:rsid w:val="072C13A7"/>
    <w:rsid w:val="07305B23"/>
    <w:rsid w:val="074327A4"/>
    <w:rsid w:val="076A5F83"/>
    <w:rsid w:val="07745563"/>
    <w:rsid w:val="077933C9"/>
    <w:rsid w:val="078B1B12"/>
    <w:rsid w:val="079432E1"/>
    <w:rsid w:val="07D76F40"/>
    <w:rsid w:val="07E06245"/>
    <w:rsid w:val="07E95074"/>
    <w:rsid w:val="07FF390C"/>
    <w:rsid w:val="08106216"/>
    <w:rsid w:val="08124351"/>
    <w:rsid w:val="081F7158"/>
    <w:rsid w:val="083138E1"/>
    <w:rsid w:val="083770AE"/>
    <w:rsid w:val="083B16CD"/>
    <w:rsid w:val="084F33CB"/>
    <w:rsid w:val="08610FAE"/>
    <w:rsid w:val="087022A2"/>
    <w:rsid w:val="08710BA0"/>
    <w:rsid w:val="08A12849"/>
    <w:rsid w:val="08B33655"/>
    <w:rsid w:val="08B800C6"/>
    <w:rsid w:val="08DD2784"/>
    <w:rsid w:val="08E35285"/>
    <w:rsid w:val="08F37C57"/>
    <w:rsid w:val="0902090A"/>
    <w:rsid w:val="090B10A0"/>
    <w:rsid w:val="09151F1E"/>
    <w:rsid w:val="091A749D"/>
    <w:rsid w:val="093E6F00"/>
    <w:rsid w:val="09510A7C"/>
    <w:rsid w:val="09593076"/>
    <w:rsid w:val="095B2C98"/>
    <w:rsid w:val="09612984"/>
    <w:rsid w:val="097123C8"/>
    <w:rsid w:val="098A2126"/>
    <w:rsid w:val="09AD192B"/>
    <w:rsid w:val="09B07A0B"/>
    <w:rsid w:val="09E0756D"/>
    <w:rsid w:val="09EE7B49"/>
    <w:rsid w:val="0A27045E"/>
    <w:rsid w:val="0A285C81"/>
    <w:rsid w:val="0A570314"/>
    <w:rsid w:val="0A6C3DC0"/>
    <w:rsid w:val="0A860967"/>
    <w:rsid w:val="0A8A2498"/>
    <w:rsid w:val="0A8D70A8"/>
    <w:rsid w:val="0AA74B5F"/>
    <w:rsid w:val="0AB063A2"/>
    <w:rsid w:val="0AF838A6"/>
    <w:rsid w:val="0B031859"/>
    <w:rsid w:val="0B6D6042"/>
    <w:rsid w:val="0B957346"/>
    <w:rsid w:val="0BC867E1"/>
    <w:rsid w:val="0BCF3516"/>
    <w:rsid w:val="0BD5377D"/>
    <w:rsid w:val="0BE12E04"/>
    <w:rsid w:val="0BF00A21"/>
    <w:rsid w:val="0BFE6C9A"/>
    <w:rsid w:val="0C101EC7"/>
    <w:rsid w:val="0C120997"/>
    <w:rsid w:val="0C344DB1"/>
    <w:rsid w:val="0C5F32C8"/>
    <w:rsid w:val="0C725126"/>
    <w:rsid w:val="0C773160"/>
    <w:rsid w:val="0C7A45A8"/>
    <w:rsid w:val="0C7B653C"/>
    <w:rsid w:val="0C9B098C"/>
    <w:rsid w:val="0CD35BA7"/>
    <w:rsid w:val="0CDC5FA5"/>
    <w:rsid w:val="0CDF2F6F"/>
    <w:rsid w:val="0CFC5353"/>
    <w:rsid w:val="0D15073F"/>
    <w:rsid w:val="0D283C07"/>
    <w:rsid w:val="0D530CD5"/>
    <w:rsid w:val="0D5704B7"/>
    <w:rsid w:val="0D5F156E"/>
    <w:rsid w:val="0D71793F"/>
    <w:rsid w:val="0D762462"/>
    <w:rsid w:val="0D841421"/>
    <w:rsid w:val="0D8A79DE"/>
    <w:rsid w:val="0DAF7E79"/>
    <w:rsid w:val="0DB553D3"/>
    <w:rsid w:val="0DDA0176"/>
    <w:rsid w:val="0DDC300B"/>
    <w:rsid w:val="0DF76337"/>
    <w:rsid w:val="0E176739"/>
    <w:rsid w:val="0E192351"/>
    <w:rsid w:val="0E2D258A"/>
    <w:rsid w:val="0E3434AE"/>
    <w:rsid w:val="0E447C21"/>
    <w:rsid w:val="0E627199"/>
    <w:rsid w:val="0E6D6472"/>
    <w:rsid w:val="0E864F30"/>
    <w:rsid w:val="0E8B2F2F"/>
    <w:rsid w:val="0EAD3DDF"/>
    <w:rsid w:val="0EB22FCC"/>
    <w:rsid w:val="0EC04084"/>
    <w:rsid w:val="0EDE4D64"/>
    <w:rsid w:val="0EEF5E04"/>
    <w:rsid w:val="0F0767AD"/>
    <w:rsid w:val="0F0A2CF2"/>
    <w:rsid w:val="0F1D151B"/>
    <w:rsid w:val="0F1F4121"/>
    <w:rsid w:val="0F1F58A5"/>
    <w:rsid w:val="0F31382A"/>
    <w:rsid w:val="0F374ECB"/>
    <w:rsid w:val="0F5169F1"/>
    <w:rsid w:val="0F725C73"/>
    <w:rsid w:val="0F8C4BAE"/>
    <w:rsid w:val="0FA1450C"/>
    <w:rsid w:val="0FA933C0"/>
    <w:rsid w:val="0FAD1102"/>
    <w:rsid w:val="0FB87C4C"/>
    <w:rsid w:val="0FBA381F"/>
    <w:rsid w:val="0FC4644C"/>
    <w:rsid w:val="10153655"/>
    <w:rsid w:val="101B1D35"/>
    <w:rsid w:val="101D790A"/>
    <w:rsid w:val="10234F21"/>
    <w:rsid w:val="1025513D"/>
    <w:rsid w:val="104355C3"/>
    <w:rsid w:val="10452995"/>
    <w:rsid w:val="104D01F0"/>
    <w:rsid w:val="10594DE6"/>
    <w:rsid w:val="10635C65"/>
    <w:rsid w:val="10702130"/>
    <w:rsid w:val="108C6F6A"/>
    <w:rsid w:val="1097590F"/>
    <w:rsid w:val="10AA2940"/>
    <w:rsid w:val="10EF74F9"/>
    <w:rsid w:val="10FA6C91"/>
    <w:rsid w:val="11063FEA"/>
    <w:rsid w:val="114141D1"/>
    <w:rsid w:val="11691059"/>
    <w:rsid w:val="117B6FDE"/>
    <w:rsid w:val="11C269BB"/>
    <w:rsid w:val="11C40778"/>
    <w:rsid w:val="11CD06B9"/>
    <w:rsid w:val="11D36BA5"/>
    <w:rsid w:val="11E608FC"/>
    <w:rsid w:val="11EE2FAE"/>
    <w:rsid w:val="11F0177A"/>
    <w:rsid w:val="123E24E6"/>
    <w:rsid w:val="129F633B"/>
    <w:rsid w:val="12B72FF7"/>
    <w:rsid w:val="12B97DBE"/>
    <w:rsid w:val="12C66037"/>
    <w:rsid w:val="12E30687"/>
    <w:rsid w:val="13122E2C"/>
    <w:rsid w:val="132316DC"/>
    <w:rsid w:val="13236CF6"/>
    <w:rsid w:val="132C0590"/>
    <w:rsid w:val="134233AA"/>
    <w:rsid w:val="134F3535"/>
    <w:rsid w:val="1356385F"/>
    <w:rsid w:val="13801929"/>
    <w:rsid w:val="13883103"/>
    <w:rsid w:val="13A175CB"/>
    <w:rsid w:val="13B660AC"/>
    <w:rsid w:val="13B81E24"/>
    <w:rsid w:val="13CB3C23"/>
    <w:rsid w:val="13D37C04"/>
    <w:rsid w:val="13EB2B5B"/>
    <w:rsid w:val="13FC160B"/>
    <w:rsid w:val="14027543"/>
    <w:rsid w:val="1415241B"/>
    <w:rsid w:val="14176AF0"/>
    <w:rsid w:val="14180B15"/>
    <w:rsid w:val="141C6E80"/>
    <w:rsid w:val="142E20E6"/>
    <w:rsid w:val="144D4C62"/>
    <w:rsid w:val="145F6CE2"/>
    <w:rsid w:val="14786D6E"/>
    <w:rsid w:val="14A51ADE"/>
    <w:rsid w:val="14BF6273"/>
    <w:rsid w:val="14D233B9"/>
    <w:rsid w:val="14E50FE6"/>
    <w:rsid w:val="14E54AF1"/>
    <w:rsid w:val="14E71A86"/>
    <w:rsid w:val="14F32D2A"/>
    <w:rsid w:val="150147FC"/>
    <w:rsid w:val="15014D40"/>
    <w:rsid w:val="15035321"/>
    <w:rsid w:val="151457DD"/>
    <w:rsid w:val="152754B3"/>
    <w:rsid w:val="153320AA"/>
    <w:rsid w:val="153B3AB4"/>
    <w:rsid w:val="15474F0A"/>
    <w:rsid w:val="155672C0"/>
    <w:rsid w:val="158C17BA"/>
    <w:rsid w:val="158F40CB"/>
    <w:rsid w:val="15983D66"/>
    <w:rsid w:val="15C01C94"/>
    <w:rsid w:val="15E93AE7"/>
    <w:rsid w:val="16050D20"/>
    <w:rsid w:val="161664D4"/>
    <w:rsid w:val="162A7013"/>
    <w:rsid w:val="16751FB4"/>
    <w:rsid w:val="16AA4AD3"/>
    <w:rsid w:val="16BA2357"/>
    <w:rsid w:val="16DA3AC4"/>
    <w:rsid w:val="16F75359"/>
    <w:rsid w:val="16F83DC9"/>
    <w:rsid w:val="16F92E7F"/>
    <w:rsid w:val="17013643"/>
    <w:rsid w:val="17101F77"/>
    <w:rsid w:val="17171557"/>
    <w:rsid w:val="17211201"/>
    <w:rsid w:val="176127D3"/>
    <w:rsid w:val="17620A24"/>
    <w:rsid w:val="177E12DF"/>
    <w:rsid w:val="178D35C8"/>
    <w:rsid w:val="17AD1EF5"/>
    <w:rsid w:val="17CA481C"/>
    <w:rsid w:val="17DF30EF"/>
    <w:rsid w:val="18095344"/>
    <w:rsid w:val="181405F5"/>
    <w:rsid w:val="181E0F07"/>
    <w:rsid w:val="182F467F"/>
    <w:rsid w:val="18323443"/>
    <w:rsid w:val="18351C95"/>
    <w:rsid w:val="183A72AB"/>
    <w:rsid w:val="184C5231"/>
    <w:rsid w:val="184E0379"/>
    <w:rsid w:val="185041B0"/>
    <w:rsid w:val="185A261A"/>
    <w:rsid w:val="186C34C5"/>
    <w:rsid w:val="187E4201"/>
    <w:rsid w:val="188406BB"/>
    <w:rsid w:val="18B74DA0"/>
    <w:rsid w:val="18BF655E"/>
    <w:rsid w:val="18DF60A5"/>
    <w:rsid w:val="18E6445F"/>
    <w:rsid w:val="18F26474"/>
    <w:rsid w:val="19337CC2"/>
    <w:rsid w:val="193959BC"/>
    <w:rsid w:val="193E726F"/>
    <w:rsid w:val="19510495"/>
    <w:rsid w:val="19524AC9"/>
    <w:rsid w:val="19660BA9"/>
    <w:rsid w:val="199724DC"/>
    <w:rsid w:val="19B555DD"/>
    <w:rsid w:val="19DA14D1"/>
    <w:rsid w:val="19EC7483"/>
    <w:rsid w:val="19FB2A6A"/>
    <w:rsid w:val="19FE255B"/>
    <w:rsid w:val="1A0A3C1F"/>
    <w:rsid w:val="1A126F1D"/>
    <w:rsid w:val="1A2E2576"/>
    <w:rsid w:val="1A7D4307"/>
    <w:rsid w:val="1A864A2A"/>
    <w:rsid w:val="1A957F62"/>
    <w:rsid w:val="1ABD6E86"/>
    <w:rsid w:val="1ABE6691"/>
    <w:rsid w:val="1AC31A63"/>
    <w:rsid w:val="1AC437A4"/>
    <w:rsid w:val="1AE349FE"/>
    <w:rsid w:val="1B0040E7"/>
    <w:rsid w:val="1B0D1416"/>
    <w:rsid w:val="1B2A6673"/>
    <w:rsid w:val="1B383295"/>
    <w:rsid w:val="1B460A7D"/>
    <w:rsid w:val="1B866ABB"/>
    <w:rsid w:val="1B8908F9"/>
    <w:rsid w:val="1B8A0B1F"/>
    <w:rsid w:val="1B9969DF"/>
    <w:rsid w:val="1BA826A9"/>
    <w:rsid w:val="1BAA4CAA"/>
    <w:rsid w:val="1BD06180"/>
    <w:rsid w:val="1BD21EF1"/>
    <w:rsid w:val="1C2256F6"/>
    <w:rsid w:val="1C3A1F70"/>
    <w:rsid w:val="1C3B1844"/>
    <w:rsid w:val="1C433287"/>
    <w:rsid w:val="1C4B1532"/>
    <w:rsid w:val="1C5E4729"/>
    <w:rsid w:val="1C7132A4"/>
    <w:rsid w:val="1C737A5D"/>
    <w:rsid w:val="1C8D4564"/>
    <w:rsid w:val="1C9176B6"/>
    <w:rsid w:val="1CA90EA4"/>
    <w:rsid w:val="1CE172B0"/>
    <w:rsid w:val="1CFE17B2"/>
    <w:rsid w:val="1D3F2D15"/>
    <w:rsid w:val="1D481582"/>
    <w:rsid w:val="1D95516D"/>
    <w:rsid w:val="1DAA3890"/>
    <w:rsid w:val="1DB316DB"/>
    <w:rsid w:val="1DCF2045"/>
    <w:rsid w:val="1DD30ECA"/>
    <w:rsid w:val="1DDA6E3B"/>
    <w:rsid w:val="1DE55F0B"/>
    <w:rsid w:val="1E116D00"/>
    <w:rsid w:val="1E14234D"/>
    <w:rsid w:val="1E201112"/>
    <w:rsid w:val="1E25455A"/>
    <w:rsid w:val="1E293D1D"/>
    <w:rsid w:val="1E380731"/>
    <w:rsid w:val="1E3B42AF"/>
    <w:rsid w:val="1E4569AA"/>
    <w:rsid w:val="1E616A56"/>
    <w:rsid w:val="1E6F3499"/>
    <w:rsid w:val="1E786D7F"/>
    <w:rsid w:val="1E8403EC"/>
    <w:rsid w:val="1E870D71"/>
    <w:rsid w:val="1E8A260F"/>
    <w:rsid w:val="1E982F7E"/>
    <w:rsid w:val="1E9C3352"/>
    <w:rsid w:val="1EA21281"/>
    <w:rsid w:val="1EAC6A29"/>
    <w:rsid w:val="1EC82ADA"/>
    <w:rsid w:val="1ECE6C68"/>
    <w:rsid w:val="1EDD61FE"/>
    <w:rsid w:val="1EF67CA4"/>
    <w:rsid w:val="1EFE69F1"/>
    <w:rsid w:val="1F0979D8"/>
    <w:rsid w:val="1F0B7BF4"/>
    <w:rsid w:val="1F0E4FEE"/>
    <w:rsid w:val="1F2876C4"/>
    <w:rsid w:val="1F2F6175"/>
    <w:rsid w:val="1F5844BB"/>
    <w:rsid w:val="1F8359DC"/>
    <w:rsid w:val="1F847289"/>
    <w:rsid w:val="1F943250"/>
    <w:rsid w:val="1FA202A3"/>
    <w:rsid w:val="1FBA62CF"/>
    <w:rsid w:val="1FC658C9"/>
    <w:rsid w:val="1FEA7809"/>
    <w:rsid w:val="1FF5402D"/>
    <w:rsid w:val="20140EDC"/>
    <w:rsid w:val="20146634"/>
    <w:rsid w:val="202300CB"/>
    <w:rsid w:val="203155A4"/>
    <w:rsid w:val="207812B9"/>
    <w:rsid w:val="20885230"/>
    <w:rsid w:val="208F0552"/>
    <w:rsid w:val="209634ED"/>
    <w:rsid w:val="209D1546"/>
    <w:rsid w:val="20A57BD4"/>
    <w:rsid w:val="20DE6B74"/>
    <w:rsid w:val="20FE53EC"/>
    <w:rsid w:val="21136DA9"/>
    <w:rsid w:val="21156B08"/>
    <w:rsid w:val="21380A48"/>
    <w:rsid w:val="213845A4"/>
    <w:rsid w:val="213D044A"/>
    <w:rsid w:val="21400854"/>
    <w:rsid w:val="214B077B"/>
    <w:rsid w:val="21517CB8"/>
    <w:rsid w:val="2163143A"/>
    <w:rsid w:val="21703D3E"/>
    <w:rsid w:val="219376EC"/>
    <w:rsid w:val="219F07D6"/>
    <w:rsid w:val="21A16B7E"/>
    <w:rsid w:val="21AD1028"/>
    <w:rsid w:val="21BE0F4D"/>
    <w:rsid w:val="21CA46B2"/>
    <w:rsid w:val="21ED024D"/>
    <w:rsid w:val="22031056"/>
    <w:rsid w:val="221406D8"/>
    <w:rsid w:val="223315CC"/>
    <w:rsid w:val="22484CBB"/>
    <w:rsid w:val="224F4E1A"/>
    <w:rsid w:val="22586D89"/>
    <w:rsid w:val="225B49EE"/>
    <w:rsid w:val="22635651"/>
    <w:rsid w:val="226C6BFB"/>
    <w:rsid w:val="2274785E"/>
    <w:rsid w:val="22961841"/>
    <w:rsid w:val="22CC58EC"/>
    <w:rsid w:val="22DB78DD"/>
    <w:rsid w:val="22E60994"/>
    <w:rsid w:val="22F8048F"/>
    <w:rsid w:val="231150AD"/>
    <w:rsid w:val="231F3C6E"/>
    <w:rsid w:val="23307C29"/>
    <w:rsid w:val="233262CF"/>
    <w:rsid w:val="23427B95"/>
    <w:rsid w:val="23531734"/>
    <w:rsid w:val="237C10C0"/>
    <w:rsid w:val="23827525"/>
    <w:rsid w:val="239B6A50"/>
    <w:rsid w:val="23B268F7"/>
    <w:rsid w:val="23BD5783"/>
    <w:rsid w:val="23CD0CA0"/>
    <w:rsid w:val="23D60789"/>
    <w:rsid w:val="241E2177"/>
    <w:rsid w:val="242C5948"/>
    <w:rsid w:val="24314A25"/>
    <w:rsid w:val="24487EAB"/>
    <w:rsid w:val="244C4BBA"/>
    <w:rsid w:val="245B0CD5"/>
    <w:rsid w:val="24603960"/>
    <w:rsid w:val="248E3379"/>
    <w:rsid w:val="249E1F32"/>
    <w:rsid w:val="24B46637"/>
    <w:rsid w:val="24C543A1"/>
    <w:rsid w:val="24C70119"/>
    <w:rsid w:val="24CF7489"/>
    <w:rsid w:val="24E05A39"/>
    <w:rsid w:val="24EE732A"/>
    <w:rsid w:val="24F133E8"/>
    <w:rsid w:val="2527109F"/>
    <w:rsid w:val="253D0438"/>
    <w:rsid w:val="253D667C"/>
    <w:rsid w:val="253F05F7"/>
    <w:rsid w:val="255B2F57"/>
    <w:rsid w:val="257B2D60"/>
    <w:rsid w:val="258D4F31"/>
    <w:rsid w:val="25916979"/>
    <w:rsid w:val="25932660"/>
    <w:rsid w:val="25C74149"/>
    <w:rsid w:val="25D80104"/>
    <w:rsid w:val="25D92044"/>
    <w:rsid w:val="25DD2FCE"/>
    <w:rsid w:val="2618242D"/>
    <w:rsid w:val="26215F40"/>
    <w:rsid w:val="262B29F6"/>
    <w:rsid w:val="263C68E5"/>
    <w:rsid w:val="267E6EFD"/>
    <w:rsid w:val="269617B8"/>
    <w:rsid w:val="269826B4"/>
    <w:rsid w:val="26AF085F"/>
    <w:rsid w:val="26CC2994"/>
    <w:rsid w:val="26D32F44"/>
    <w:rsid w:val="270D202F"/>
    <w:rsid w:val="27707EB9"/>
    <w:rsid w:val="277A3B68"/>
    <w:rsid w:val="2789103A"/>
    <w:rsid w:val="278E3170"/>
    <w:rsid w:val="27A42993"/>
    <w:rsid w:val="27AC7A9A"/>
    <w:rsid w:val="27B64475"/>
    <w:rsid w:val="27BA2AC1"/>
    <w:rsid w:val="27D60D62"/>
    <w:rsid w:val="27D74B17"/>
    <w:rsid w:val="27F72A8C"/>
    <w:rsid w:val="27FC167D"/>
    <w:rsid w:val="28090A48"/>
    <w:rsid w:val="28243AD4"/>
    <w:rsid w:val="282B6C11"/>
    <w:rsid w:val="28522619"/>
    <w:rsid w:val="28784840"/>
    <w:rsid w:val="28956780"/>
    <w:rsid w:val="28A340B7"/>
    <w:rsid w:val="28C130D1"/>
    <w:rsid w:val="28C87A8C"/>
    <w:rsid w:val="28CF48F2"/>
    <w:rsid w:val="28F77FD7"/>
    <w:rsid w:val="29202376"/>
    <w:rsid w:val="293D069F"/>
    <w:rsid w:val="29656C0E"/>
    <w:rsid w:val="296D0493"/>
    <w:rsid w:val="29830790"/>
    <w:rsid w:val="29E22FD7"/>
    <w:rsid w:val="29E277A3"/>
    <w:rsid w:val="29E67293"/>
    <w:rsid w:val="29E90556"/>
    <w:rsid w:val="29F6791A"/>
    <w:rsid w:val="2A021BF3"/>
    <w:rsid w:val="2A134705"/>
    <w:rsid w:val="2A192C73"/>
    <w:rsid w:val="2A197558"/>
    <w:rsid w:val="2A3F4BF2"/>
    <w:rsid w:val="2A510485"/>
    <w:rsid w:val="2A532DE9"/>
    <w:rsid w:val="2A8D5961"/>
    <w:rsid w:val="2A90264B"/>
    <w:rsid w:val="2A961C47"/>
    <w:rsid w:val="2AAE4375"/>
    <w:rsid w:val="2AC46581"/>
    <w:rsid w:val="2AD755BF"/>
    <w:rsid w:val="2AE66C05"/>
    <w:rsid w:val="2AE8528D"/>
    <w:rsid w:val="2AEA3F93"/>
    <w:rsid w:val="2B116592"/>
    <w:rsid w:val="2B2C4E67"/>
    <w:rsid w:val="2B4A7AF8"/>
    <w:rsid w:val="2B560D70"/>
    <w:rsid w:val="2B67049F"/>
    <w:rsid w:val="2B714CBE"/>
    <w:rsid w:val="2B7D59D5"/>
    <w:rsid w:val="2BA2153D"/>
    <w:rsid w:val="2BB21D3B"/>
    <w:rsid w:val="2BBE79D8"/>
    <w:rsid w:val="2C0954BB"/>
    <w:rsid w:val="2C0A2719"/>
    <w:rsid w:val="2C155C0E"/>
    <w:rsid w:val="2C2918FD"/>
    <w:rsid w:val="2C2D2BC6"/>
    <w:rsid w:val="2C554E1A"/>
    <w:rsid w:val="2C70553A"/>
    <w:rsid w:val="2CA70830"/>
    <w:rsid w:val="2CD35409"/>
    <w:rsid w:val="2CD930DF"/>
    <w:rsid w:val="2CF717B7"/>
    <w:rsid w:val="2CFD29C4"/>
    <w:rsid w:val="2D097079"/>
    <w:rsid w:val="2D236108"/>
    <w:rsid w:val="2D2A393B"/>
    <w:rsid w:val="2D377E06"/>
    <w:rsid w:val="2D471CD0"/>
    <w:rsid w:val="2D5B1E80"/>
    <w:rsid w:val="2D887053"/>
    <w:rsid w:val="2D9F1EC5"/>
    <w:rsid w:val="2DCC4F3E"/>
    <w:rsid w:val="2DCE494E"/>
    <w:rsid w:val="2DE41D3C"/>
    <w:rsid w:val="2E1C3CCC"/>
    <w:rsid w:val="2E4C78E1"/>
    <w:rsid w:val="2E5844D8"/>
    <w:rsid w:val="2E7F48D1"/>
    <w:rsid w:val="2E9B1701"/>
    <w:rsid w:val="2EB36DB4"/>
    <w:rsid w:val="2EC15BD9"/>
    <w:rsid w:val="2EC658E5"/>
    <w:rsid w:val="2ED753FC"/>
    <w:rsid w:val="2ED85A08"/>
    <w:rsid w:val="2EDE49DD"/>
    <w:rsid w:val="2EF52E8D"/>
    <w:rsid w:val="2EF7451D"/>
    <w:rsid w:val="2EFC30B5"/>
    <w:rsid w:val="2F1220EC"/>
    <w:rsid w:val="2F480FF0"/>
    <w:rsid w:val="2F541263"/>
    <w:rsid w:val="2FCA10BC"/>
    <w:rsid w:val="2FD22068"/>
    <w:rsid w:val="2FE04785"/>
    <w:rsid w:val="2FF36824"/>
    <w:rsid w:val="2FFF43B9"/>
    <w:rsid w:val="30071129"/>
    <w:rsid w:val="30183F1E"/>
    <w:rsid w:val="304E63AE"/>
    <w:rsid w:val="3066097C"/>
    <w:rsid w:val="30793D93"/>
    <w:rsid w:val="308D411D"/>
    <w:rsid w:val="30A734F4"/>
    <w:rsid w:val="30C85944"/>
    <w:rsid w:val="30C916BD"/>
    <w:rsid w:val="30CC6AB7"/>
    <w:rsid w:val="30DB7A69"/>
    <w:rsid w:val="30E525F0"/>
    <w:rsid w:val="30E653CD"/>
    <w:rsid w:val="30EE0170"/>
    <w:rsid w:val="30F14654"/>
    <w:rsid w:val="30F34772"/>
    <w:rsid w:val="31046251"/>
    <w:rsid w:val="31184B1D"/>
    <w:rsid w:val="31551F7B"/>
    <w:rsid w:val="315B1F7D"/>
    <w:rsid w:val="31792A3F"/>
    <w:rsid w:val="317978FA"/>
    <w:rsid w:val="318C29B5"/>
    <w:rsid w:val="318D35DE"/>
    <w:rsid w:val="318F2B68"/>
    <w:rsid w:val="31951EFC"/>
    <w:rsid w:val="31A2034C"/>
    <w:rsid w:val="31AC1F2C"/>
    <w:rsid w:val="31CA749A"/>
    <w:rsid w:val="320054D4"/>
    <w:rsid w:val="32063D1D"/>
    <w:rsid w:val="32222E32"/>
    <w:rsid w:val="325D30AF"/>
    <w:rsid w:val="326E5064"/>
    <w:rsid w:val="32700042"/>
    <w:rsid w:val="32820014"/>
    <w:rsid w:val="32882AB4"/>
    <w:rsid w:val="32B23D05"/>
    <w:rsid w:val="32BF2629"/>
    <w:rsid w:val="32DD4D85"/>
    <w:rsid w:val="32E91A63"/>
    <w:rsid w:val="33024A12"/>
    <w:rsid w:val="331F33C0"/>
    <w:rsid w:val="331F55C4"/>
    <w:rsid w:val="3320228C"/>
    <w:rsid w:val="33225FCA"/>
    <w:rsid w:val="33506FFF"/>
    <w:rsid w:val="33633703"/>
    <w:rsid w:val="337005F2"/>
    <w:rsid w:val="338315CA"/>
    <w:rsid w:val="338D69D1"/>
    <w:rsid w:val="338E6550"/>
    <w:rsid w:val="33E32A95"/>
    <w:rsid w:val="33E36D63"/>
    <w:rsid w:val="33F16F60"/>
    <w:rsid w:val="33F627C9"/>
    <w:rsid w:val="340D5FA6"/>
    <w:rsid w:val="342235BE"/>
    <w:rsid w:val="34304329"/>
    <w:rsid w:val="344277BC"/>
    <w:rsid w:val="345E211C"/>
    <w:rsid w:val="34873421"/>
    <w:rsid w:val="34975F57"/>
    <w:rsid w:val="34A62D3C"/>
    <w:rsid w:val="34A9783B"/>
    <w:rsid w:val="34AE1014"/>
    <w:rsid w:val="34BF705E"/>
    <w:rsid w:val="34C84481"/>
    <w:rsid w:val="34D1532E"/>
    <w:rsid w:val="34D50630"/>
    <w:rsid w:val="34ED5B40"/>
    <w:rsid w:val="3502519D"/>
    <w:rsid w:val="35132F06"/>
    <w:rsid w:val="352766D6"/>
    <w:rsid w:val="35587542"/>
    <w:rsid w:val="355F4026"/>
    <w:rsid w:val="355F7EFA"/>
    <w:rsid w:val="357E0CC8"/>
    <w:rsid w:val="358143DE"/>
    <w:rsid w:val="358944C3"/>
    <w:rsid w:val="359B0DD5"/>
    <w:rsid w:val="359E4EC6"/>
    <w:rsid w:val="35DA0FC8"/>
    <w:rsid w:val="36101B91"/>
    <w:rsid w:val="36115D55"/>
    <w:rsid w:val="362A675A"/>
    <w:rsid w:val="363B063A"/>
    <w:rsid w:val="36496F81"/>
    <w:rsid w:val="3656754F"/>
    <w:rsid w:val="36717BCA"/>
    <w:rsid w:val="3689402A"/>
    <w:rsid w:val="369E4A52"/>
    <w:rsid w:val="36A77DAA"/>
    <w:rsid w:val="36B71155"/>
    <w:rsid w:val="36CE1797"/>
    <w:rsid w:val="36D84407"/>
    <w:rsid w:val="36DA0180"/>
    <w:rsid w:val="36DB7A54"/>
    <w:rsid w:val="36E56B24"/>
    <w:rsid w:val="36EF52AD"/>
    <w:rsid w:val="370074BA"/>
    <w:rsid w:val="37137174"/>
    <w:rsid w:val="371F2036"/>
    <w:rsid w:val="372633C5"/>
    <w:rsid w:val="37410393"/>
    <w:rsid w:val="3763565C"/>
    <w:rsid w:val="37647A49"/>
    <w:rsid w:val="37661A13"/>
    <w:rsid w:val="377F4361"/>
    <w:rsid w:val="37820197"/>
    <w:rsid w:val="37A213EF"/>
    <w:rsid w:val="37A440CD"/>
    <w:rsid w:val="37A66AB6"/>
    <w:rsid w:val="37C329C2"/>
    <w:rsid w:val="37D03331"/>
    <w:rsid w:val="37E575CA"/>
    <w:rsid w:val="37E8067A"/>
    <w:rsid w:val="381D2905"/>
    <w:rsid w:val="384F02E3"/>
    <w:rsid w:val="386755C0"/>
    <w:rsid w:val="38AD6ACA"/>
    <w:rsid w:val="38BF587F"/>
    <w:rsid w:val="38C07096"/>
    <w:rsid w:val="38C60702"/>
    <w:rsid w:val="38E2331B"/>
    <w:rsid w:val="3922660C"/>
    <w:rsid w:val="39360C60"/>
    <w:rsid w:val="39474A1D"/>
    <w:rsid w:val="395064D7"/>
    <w:rsid w:val="395A3F64"/>
    <w:rsid w:val="396A50BF"/>
    <w:rsid w:val="396E257C"/>
    <w:rsid w:val="39795833"/>
    <w:rsid w:val="39930ABA"/>
    <w:rsid w:val="39BF75EA"/>
    <w:rsid w:val="39C02B8E"/>
    <w:rsid w:val="39CC77A9"/>
    <w:rsid w:val="39DA7DDD"/>
    <w:rsid w:val="39FC040D"/>
    <w:rsid w:val="3A164696"/>
    <w:rsid w:val="3A21057F"/>
    <w:rsid w:val="3A236644"/>
    <w:rsid w:val="3A2823BA"/>
    <w:rsid w:val="3A5D7594"/>
    <w:rsid w:val="3A646F92"/>
    <w:rsid w:val="3A701569"/>
    <w:rsid w:val="3A854F56"/>
    <w:rsid w:val="3A92697A"/>
    <w:rsid w:val="3AB06593"/>
    <w:rsid w:val="3ADB44C6"/>
    <w:rsid w:val="3ADF7B01"/>
    <w:rsid w:val="3AE80991"/>
    <w:rsid w:val="3AEB1466"/>
    <w:rsid w:val="3AEB77FC"/>
    <w:rsid w:val="3AF72A64"/>
    <w:rsid w:val="3B0A4DAB"/>
    <w:rsid w:val="3B117EE8"/>
    <w:rsid w:val="3B2A0FAA"/>
    <w:rsid w:val="3B31058A"/>
    <w:rsid w:val="3B345984"/>
    <w:rsid w:val="3B5B5607"/>
    <w:rsid w:val="3B6C3370"/>
    <w:rsid w:val="3B725F02"/>
    <w:rsid w:val="3B7767C2"/>
    <w:rsid w:val="3B845997"/>
    <w:rsid w:val="3B934DA1"/>
    <w:rsid w:val="3BB865B6"/>
    <w:rsid w:val="3BCE5A48"/>
    <w:rsid w:val="3BDD10D3"/>
    <w:rsid w:val="3BE0340B"/>
    <w:rsid w:val="3BF75330"/>
    <w:rsid w:val="3C102D4B"/>
    <w:rsid w:val="3C153A08"/>
    <w:rsid w:val="3C1F31FC"/>
    <w:rsid w:val="3C45469E"/>
    <w:rsid w:val="3C526445"/>
    <w:rsid w:val="3C7626F9"/>
    <w:rsid w:val="3C9C5ED7"/>
    <w:rsid w:val="3CA54D8C"/>
    <w:rsid w:val="3CB85935"/>
    <w:rsid w:val="3CD226DE"/>
    <w:rsid w:val="3CEF6007"/>
    <w:rsid w:val="3CFA1725"/>
    <w:rsid w:val="3CFD4BC8"/>
    <w:rsid w:val="3D0715A3"/>
    <w:rsid w:val="3D2A34E3"/>
    <w:rsid w:val="3D3E0D3C"/>
    <w:rsid w:val="3D403DC7"/>
    <w:rsid w:val="3D485717"/>
    <w:rsid w:val="3D583BAC"/>
    <w:rsid w:val="3D670293"/>
    <w:rsid w:val="3D6B4250"/>
    <w:rsid w:val="3D7B2612"/>
    <w:rsid w:val="3D864BBD"/>
    <w:rsid w:val="3D8876F6"/>
    <w:rsid w:val="3D915AC7"/>
    <w:rsid w:val="3D980DA4"/>
    <w:rsid w:val="3DAB63D2"/>
    <w:rsid w:val="3DD24D87"/>
    <w:rsid w:val="3DE23DBE"/>
    <w:rsid w:val="3DE44963"/>
    <w:rsid w:val="3DEB754A"/>
    <w:rsid w:val="3E191E52"/>
    <w:rsid w:val="3E1A521B"/>
    <w:rsid w:val="3E1F0B6E"/>
    <w:rsid w:val="3E1F46CA"/>
    <w:rsid w:val="3E300685"/>
    <w:rsid w:val="3E372E2B"/>
    <w:rsid w:val="3E467EA9"/>
    <w:rsid w:val="3E502AD5"/>
    <w:rsid w:val="3E61483D"/>
    <w:rsid w:val="3E745091"/>
    <w:rsid w:val="3E7B6FD6"/>
    <w:rsid w:val="3E862972"/>
    <w:rsid w:val="3EA03A5D"/>
    <w:rsid w:val="3EAF068D"/>
    <w:rsid w:val="3EB219E2"/>
    <w:rsid w:val="3ECE2C8D"/>
    <w:rsid w:val="3EE00F3F"/>
    <w:rsid w:val="3EF26282"/>
    <w:rsid w:val="3EFB5137"/>
    <w:rsid w:val="3F23643C"/>
    <w:rsid w:val="3F283A52"/>
    <w:rsid w:val="3F2A77EB"/>
    <w:rsid w:val="3F3E2D13"/>
    <w:rsid w:val="3F4E7D23"/>
    <w:rsid w:val="3F537859"/>
    <w:rsid w:val="3F6A726F"/>
    <w:rsid w:val="3F6B1239"/>
    <w:rsid w:val="3F7153F9"/>
    <w:rsid w:val="3F7C101A"/>
    <w:rsid w:val="3F85706B"/>
    <w:rsid w:val="3F890529"/>
    <w:rsid w:val="3F8C5D8F"/>
    <w:rsid w:val="3F8F762D"/>
    <w:rsid w:val="3F930C94"/>
    <w:rsid w:val="3F975BFE"/>
    <w:rsid w:val="3F983EDD"/>
    <w:rsid w:val="3FCA51FC"/>
    <w:rsid w:val="3FCC6AD3"/>
    <w:rsid w:val="3FE11E76"/>
    <w:rsid w:val="40041AB9"/>
    <w:rsid w:val="400D729E"/>
    <w:rsid w:val="401A219A"/>
    <w:rsid w:val="401F3EA2"/>
    <w:rsid w:val="40464190"/>
    <w:rsid w:val="407033AC"/>
    <w:rsid w:val="40771707"/>
    <w:rsid w:val="40A11D0E"/>
    <w:rsid w:val="40A42BF1"/>
    <w:rsid w:val="40DD327C"/>
    <w:rsid w:val="40E43F71"/>
    <w:rsid w:val="410A5D5D"/>
    <w:rsid w:val="410F0A26"/>
    <w:rsid w:val="412C388F"/>
    <w:rsid w:val="41432111"/>
    <w:rsid w:val="41536B4F"/>
    <w:rsid w:val="4168282C"/>
    <w:rsid w:val="41792E05"/>
    <w:rsid w:val="418359D5"/>
    <w:rsid w:val="41A41AB6"/>
    <w:rsid w:val="41A85316"/>
    <w:rsid w:val="41AA69A0"/>
    <w:rsid w:val="41B17D2F"/>
    <w:rsid w:val="41BD0482"/>
    <w:rsid w:val="41DA2908"/>
    <w:rsid w:val="41EA1493"/>
    <w:rsid w:val="41F814A2"/>
    <w:rsid w:val="423B703C"/>
    <w:rsid w:val="42472441"/>
    <w:rsid w:val="424E6287"/>
    <w:rsid w:val="42646123"/>
    <w:rsid w:val="42781114"/>
    <w:rsid w:val="42867156"/>
    <w:rsid w:val="42935686"/>
    <w:rsid w:val="42A97FD3"/>
    <w:rsid w:val="42D40179"/>
    <w:rsid w:val="42DA5063"/>
    <w:rsid w:val="42E45EE2"/>
    <w:rsid w:val="42E5365A"/>
    <w:rsid w:val="42E67EAC"/>
    <w:rsid w:val="43076804"/>
    <w:rsid w:val="430D5439"/>
    <w:rsid w:val="4312455B"/>
    <w:rsid w:val="432D7889"/>
    <w:rsid w:val="435A7F52"/>
    <w:rsid w:val="43653F07"/>
    <w:rsid w:val="43882D11"/>
    <w:rsid w:val="43A20863"/>
    <w:rsid w:val="43A7763B"/>
    <w:rsid w:val="43B12A7D"/>
    <w:rsid w:val="43BD41A0"/>
    <w:rsid w:val="43C62F78"/>
    <w:rsid w:val="43CC0E50"/>
    <w:rsid w:val="43D23360"/>
    <w:rsid w:val="43D433AF"/>
    <w:rsid w:val="43DE3516"/>
    <w:rsid w:val="43E443EC"/>
    <w:rsid w:val="43F32881"/>
    <w:rsid w:val="44176F0A"/>
    <w:rsid w:val="44280579"/>
    <w:rsid w:val="444B446B"/>
    <w:rsid w:val="444E7AB7"/>
    <w:rsid w:val="445B0727"/>
    <w:rsid w:val="44805202"/>
    <w:rsid w:val="44827021"/>
    <w:rsid w:val="44895239"/>
    <w:rsid w:val="44B52C1A"/>
    <w:rsid w:val="44B72E08"/>
    <w:rsid w:val="450B59A8"/>
    <w:rsid w:val="451707F1"/>
    <w:rsid w:val="451A6A30"/>
    <w:rsid w:val="45352EE3"/>
    <w:rsid w:val="45356EC9"/>
    <w:rsid w:val="453749EF"/>
    <w:rsid w:val="4545710C"/>
    <w:rsid w:val="45485DBB"/>
    <w:rsid w:val="45703A5D"/>
    <w:rsid w:val="45AF0A29"/>
    <w:rsid w:val="45D870E2"/>
    <w:rsid w:val="45DF6FB4"/>
    <w:rsid w:val="45E46D51"/>
    <w:rsid w:val="45ED7D66"/>
    <w:rsid w:val="45F27515"/>
    <w:rsid w:val="46024FFD"/>
    <w:rsid w:val="460E0DAD"/>
    <w:rsid w:val="462D3EF2"/>
    <w:rsid w:val="46376D53"/>
    <w:rsid w:val="46556104"/>
    <w:rsid w:val="466E3788"/>
    <w:rsid w:val="4698605B"/>
    <w:rsid w:val="46C96F8F"/>
    <w:rsid w:val="46D4768A"/>
    <w:rsid w:val="46DE5F6A"/>
    <w:rsid w:val="46FC455A"/>
    <w:rsid w:val="47333BF4"/>
    <w:rsid w:val="47411B55"/>
    <w:rsid w:val="475A49C5"/>
    <w:rsid w:val="47612871"/>
    <w:rsid w:val="4773166D"/>
    <w:rsid w:val="4783216D"/>
    <w:rsid w:val="47983216"/>
    <w:rsid w:val="47BB02E3"/>
    <w:rsid w:val="47F22E4F"/>
    <w:rsid w:val="48117779"/>
    <w:rsid w:val="48284AC3"/>
    <w:rsid w:val="482A41E2"/>
    <w:rsid w:val="48362D3C"/>
    <w:rsid w:val="487F2935"/>
    <w:rsid w:val="48A323BE"/>
    <w:rsid w:val="48BF488B"/>
    <w:rsid w:val="48C7608A"/>
    <w:rsid w:val="48CA40CE"/>
    <w:rsid w:val="48F30C2D"/>
    <w:rsid w:val="491328D3"/>
    <w:rsid w:val="493F20C4"/>
    <w:rsid w:val="496D3E07"/>
    <w:rsid w:val="497F2B0A"/>
    <w:rsid w:val="49887000"/>
    <w:rsid w:val="49B91E77"/>
    <w:rsid w:val="49C164AA"/>
    <w:rsid w:val="49CA5E32"/>
    <w:rsid w:val="4A086DB1"/>
    <w:rsid w:val="4A25750C"/>
    <w:rsid w:val="4A2652A0"/>
    <w:rsid w:val="4A646393"/>
    <w:rsid w:val="4A725E98"/>
    <w:rsid w:val="4A9B77CE"/>
    <w:rsid w:val="4AD35943"/>
    <w:rsid w:val="4AE03305"/>
    <w:rsid w:val="4AE9678B"/>
    <w:rsid w:val="4AEC7C6C"/>
    <w:rsid w:val="4B014DB7"/>
    <w:rsid w:val="4B1355F8"/>
    <w:rsid w:val="4B3D1240"/>
    <w:rsid w:val="4B555F4C"/>
    <w:rsid w:val="4B5D5A87"/>
    <w:rsid w:val="4B5E5031"/>
    <w:rsid w:val="4B6253EC"/>
    <w:rsid w:val="4B775B45"/>
    <w:rsid w:val="4B7836BF"/>
    <w:rsid w:val="4B7A2279"/>
    <w:rsid w:val="4B8B7843"/>
    <w:rsid w:val="4B8E1202"/>
    <w:rsid w:val="4B951214"/>
    <w:rsid w:val="4BA40904"/>
    <w:rsid w:val="4C0A780B"/>
    <w:rsid w:val="4C0E10E3"/>
    <w:rsid w:val="4C15535E"/>
    <w:rsid w:val="4C164DF6"/>
    <w:rsid w:val="4C1C269C"/>
    <w:rsid w:val="4C1C2B5F"/>
    <w:rsid w:val="4C237A7B"/>
    <w:rsid w:val="4C3179CA"/>
    <w:rsid w:val="4C39729F"/>
    <w:rsid w:val="4C3C0B3D"/>
    <w:rsid w:val="4C485734"/>
    <w:rsid w:val="4C5D11DF"/>
    <w:rsid w:val="4C774951"/>
    <w:rsid w:val="4C83051A"/>
    <w:rsid w:val="4C9646F1"/>
    <w:rsid w:val="4C9815FE"/>
    <w:rsid w:val="4CBA5752"/>
    <w:rsid w:val="4CD6122B"/>
    <w:rsid w:val="4CD86A63"/>
    <w:rsid w:val="4CE0771A"/>
    <w:rsid w:val="4D0027D8"/>
    <w:rsid w:val="4D0E1DE1"/>
    <w:rsid w:val="4D1F46E6"/>
    <w:rsid w:val="4D36558C"/>
    <w:rsid w:val="4D3A2A4B"/>
    <w:rsid w:val="4D56758B"/>
    <w:rsid w:val="4D5F2253"/>
    <w:rsid w:val="4D8602C2"/>
    <w:rsid w:val="4D8C6BA3"/>
    <w:rsid w:val="4D980F41"/>
    <w:rsid w:val="4DB36BDD"/>
    <w:rsid w:val="4DBF17F2"/>
    <w:rsid w:val="4DDA685F"/>
    <w:rsid w:val="4E261AA5"/>
    <w:rsid w:val="4E467A51"/>
    <w:rsid w:val="4E4D2F85"/>
    <w:rsid w:val="4E673416"/>
    <w:rsid w:val="4E813E16"/>
    <w:rsid w:val="4E9824EC"/>
    <w:rsid w:val="4ECD3CCE"/>
    <w:rsid w:val="4EDE06E5"/>
    <w:rsid w:val="4EE74D90"/>
    <w:rsid w:val="4EF02C2A"/>
    <w:rsid w:val="4EF456FF"/>
    <w:rsid w:val="4F1B712F"/>
    <w:rsid w:val="4F22401A"/>
    <w:rsid w:val="4F24484D"/>
    <w:rsid w:val="4F386DF8"/>
    <w:rsid w:val="4F3C782E"/>
    <w:rsid w:val="4F421D6B"/>
    <w:rsid w:val="4F4734DE"/>
    <w:rsid w:val="4F495A4B"/>
    <w:rsid w:val="4F556309"/>
    <w:rsid w:val="4F7D1D9E"/>
    <w:rsid w:val="4F980780"/>
    <w:rsid w:val="4F9B7DD7"/>
    <w:rsid w:val="4FB57339"/>
    <w:rsid w:val="4FDA48F5"/>
    <w:rsid w:val="4FF92289"/>
    <w:rsid w:val="50014CE8"/>
    <w:rsid w:val="5008409A"/>
    <w:rsid w:val="5009179A"/>
    <w:rsid w:val="500B71A4"/>
    <w:rsid w:val="501F49FD"/>
    <w:rsid w:val="502B53E2"/>
    <w:rsid w:val="502B6EFE"/>
    <w:rsid w:val="504828D3"/>
    <w:rsid w:val="50606F6A"/>
    <w:rsid w:val="506754F5"/>
    <w:rsid w:val="506A3603"/>
    <w:rsid w:val="506F426D"/>
    <w:rsid w:val="507501C0"/>
    <w:rsid w:val="509D09C4"/>
    <w:rsid w:val="50AD3F81"/>
    <w:rsid w:val="50C07F8E"/>
    <w:rsid w:val="510C4869"/>
    <w:rsid w:val="51132B43"/>
    <w:rsid w:val="51206CB8"/>
    <w:rsid w:val="51383FC9"/>
    <w:rsid w:val="51552833"/>
    <w:rsid w:val="5167040A"/>
    <w:rsid w:val="5170072C"/>
    <w:rsid w:val="51720B41"/>
    <w:rsid w:val="51954F77"/>
    <w:rsid w:val="51CE491F"/>
    <w:rsid w:val="51FE0D6E"/>
    <w:rsid w:val="521340EE"/>
    <w:rsid w:val="52360AE6"/>
    <w:rsid w:val="52416EAD"/>
    <w:rsid w:val="525D48FE"/>
    <w:rsid w:val="528D00A0"/>
    <w:rsid w:val="52AA37D5"/>
    <w:rsid w:val="52AB26B4"/>
    <w:rsid w:val="52AD6536"/>
    <w:rsid w:val="52BF031B"/>
    <w:rsid w:val="52CB49C9"/>
    <w:rsid w:val="52E70157"/>
    <w:rsid w:val="52ED6A1A"/>
    <w:rsid w:val="52F43F1F"/>
    <w:rsid w:val="53023F54"/>
    <w:rsid w:val="5319543D"/>
    <w:rsid w:val="53195734"/>
    <w:rsid w:val="53206E87"/>
    <w:rsid w:val="53337F0C"/>
    <w:rsid w:val="536243A8"/>
    <w:rsid w:val="53854CFB"/>
    <w:rsid w:val="53A27940"/>
    <w:rsid w:val="53B03160"/>
    <w:rsid w:val="53B042EA"/>
    <w:rsid w:val="53B841D5"/>
    <w:rsid w:val="53C83C69"/>
    <w:rsid w:val="53CB1124"/>
    <w:rsid w:val="53D750C6"/>
    <w:rsid w:val="53F25985"/>
    <w:rsid w:val="53F32429"/>
    <w:rsid w:val="54493DF7"/>
    <w:rsid w:val="5459013C"/>
    <w:rsid w:val="54756D58"/>
    <w:rsid w:val="5486329D"/>
    <w:rsid w:val="548F62B1"/>
    <w:rsid w:val="54B72EF6"/>
    <w:rsid w:val="54BF40B9"/>
    <w:rsid w:val="54CA13DC"/>
    <w:rsid w:val="54CC26F2"/>
    <w:rsid w:val="54EA55DA"/>
    <w:rsid w:val="54EA57D8"/>
    <w:rsid w:val="54F320EC"/>
    <w:rsid w:val="551835AB"/>
    <w:rsid w:val="551C775D"/>
    <w:rsid w:val="5559450E"/>
    <w:rsid w:val="55644878"/>
    <w:rsid w:val="557770F6"/>
    <w:rsid w:val="557908A9"/>
    <w:rsid w:val="55961025"/>
    <w:rsid w:val="55B1434A"/>
    <w:rsid w:val="55D10548"/>
    <w:rsid w:val="55E5570E"/>
    <w:rsid w:val="55FC3817"/>
    <w:rsid w:val="56116612"/>
    <w:rsid w:val="561309D3"/>
    <w:rsid w:val="56260894"/>
    <w:rsid w:val="56574EF1"/>
    <w:rsid w:val="565D401A"/>
    <w:rsid w:val="56625644"/>
    <w:rsid w:val="56783495"/>
    <w:rsid w:val="56A271CB"/>
    <w:rsid w:val="56A32EA5"/>
    <w:rsid w:val="56A874FB"/>
    <w:rsid w:val="56C23D14"/>
    <w:rsid w:val="56D24578"/>
    <w:rsid w:val="56E90D97"/>
    <w:rsid w:val="56EF512A"/>
    <w:rsid w:val="56F20F8E"/>
    <w:rsid w:val="570861EB"/>
    <w:rsid w:val="571B7CCD"/>
    <w:rsid w:val="571C3A45"/>
    <w:rsid w:val="57454E17"/>
    <w:rsid w:val="57495E74"/>
    <w:rsid w:val="57567035"/>
    <w:rsid w:val="57650F48"/>
    <w:rsid w:val="576A54E8"/>
    <w:rsid w:val="577218B7"/>
    <w:rsid w:val="57886740"/>
    <w:rsid w:val="57A04676"/>
    <w:rsid w:val="57C245EC"/>
    <w:rsid w:val="581D5CC6"/>
    <w:rsid w:val="58256929"/>
    <w:rsid w:val="58463748"/>
    <w:rsid w:val="58585A46"/>
    <w:rsid w:val="585A69C8"/>
    <w:rsid w:val="586C27AA"/>
    <w:rsid w:val="586E207E"/>
    <w:rsid w:val="587D1787"/>
    <w:rsid w:val="587F6039"/>
    <w:rsid w:val="58885D9D"/>
    <w:rsid w:val="588F0622"/>
    <w:rsid w:val="58906498"/>
    <w:rsid w:val="58B32187"/>
    <w:rsid w:val="58E773D1"/>
    <w:rsid w:val="58EE38BE"/>
    <w:rsid w:val="592400CE"/>
    <w:rsid w:val="59254E33"/>
    <w:rsid w:val="593257A1"/>
    <w:rsid w:val="59513E7A"/>
    <w:rsid w:val="59561490"/>
    <w:rsid w:val="59616949"/>
    <w:rsid w:val="59966020"/>
    <w:rsid w:val="59973856"/>
    <w:rsid w:val="599F710B"/>
    <w:rsid w:val="59EF4710"/>
    <w:rsid w:val="59F741C0"/>
    <w:rsid w:val="5A2055FA"/>
    <w:rsid w:val="5A270CBF"/>
    <w:rsid w:val="5A386DE8"/>
    <w:rsid w:val="5A52388C"/>
    <w:rsid w:val="5A721E8D"/>
    <w:rsid w:val="5A753B98"/>
    <w:rsid w:val="5A9B66F5"/>
    <w:rsid w:val="5A9C7376"/>
    <w:rsid w:val="5AA47FD9"/>
    <w:rsid w:val="5ADE6579"/>
    <w:rsid w:val="5AE845C6"/>
    <w:rsid w:val="5B03642E"/>
    <w:rsid w:val="5B044F1C"/>
    <w:rsid w:val="5B136F0D"/>
    <w:rsid w:val="5B1C2265"/>
    <w:rsid w:val="5B1E7D8B"/>
    <w:rsid w:val="5B2533FD"/>
    <w:rsid w:val="5B2B4256"/>
    <w:rsid w:val="5B32375A"/>
    <w:rsid w:val="5B455E4C"/>
    <w:rsid w:val="5B582682"/>
    <w:rsid w:val="5B8147BE"/>
    <w:rsid w:val="5BAF251E"/>
    <w:rsid w:val="5BC539EA"/>
    <w:rsid w:val="5BCC5A39"/>
    <w:rsid w:val="5C0056E3"/>
    <w:rsid w:val="5C0A6562"/>
    <w:rsid w:val="5C0F1AAD"/>
    <w:rsid w:val="5C116442"/>
    <w:rsid w:val="5C1716E8"/>
    <w:rsid w:val="5C1B378B"/>
    <w:rsid w:val="5C20760A"/>
    <w:rsid w:val="5C286985"/>
    <w:rsid w:val="5C3D6616"/>
    <w:rsid w:val="5C4507CF"/>
    <w:rsid w:val="5C4F0418"/>
    <w:rsid w:val="5C541ADC"/>
    <w:rsid w:val="5C7E6353"/>
    <w:rsid w:val="5C9522CF"/>
    <w:rsid w:val="5CA16EE4"/>
    <w:rsid w:val="5CD66444"/>
    <w:rsid w:val="5CD82CD5"/>
    <w:rsid w:val="5CE61CDD"/>
    <w:rsid w:val="5CE648D9"/>
    <w:rsid w:val="5D211242"/>
    <w:rsid w:val="5D301FF8"/>
    <w:rsid w:val="5D3F79E1"/>
    <w:rsid w:val="5D9702C9"/>
    <w:rsid w:val="5D971E0F"/>
    <w:rsid w:val="5D990FE5"/>
    <w:rsid w:val="5D9A56C3"/>
    <w:rsid w:val="5DCA41FA"/>
    <w:rsid w:val="5DE52DE2"/>
    <w:rsid w:val="5DE70A29"/>
    <w:rsid w:val="5E055233"/>
    <w:rsid w:val="5E0A2849"/>
    <w:rsid w:val="5E2C7555"/>
    <w:rsid w:val="5E4D4419"/>
    <w:rsid w:val="5E577E09"/>
    <w:rsid w:val="5E651CDE"/>
    <w:rsid w:val="5E6A778C"/>
    <w:rsid w:val="5E6B7AA2"/>
    <w:rsid w:val="5E8C14B0"/>
    <w:rsid w:val="5E8C7702"/>
    <w:rsid w:val="5E987E55"/>
    <w:rsid w:val="5E9A471E"/>
    <w:rsid w:val="5E9B7945"/>
    <w:rsid w:val="5EAB6961"/>
    <w:rsid w:val="5EAC5CBD"/>
    <w:rsid w:val="5EB2746D"/>
    <w:rsid w:val="5EB451DE"/>
    <w:rsid w:val="5EB91933"/>
    <w:rsid w:val="5EBA426F"/>
    <w:rsid w:val="5ECC5D50"/>
    <w:rsid w:val="5ED54C05"/>
    <w:rsid w:val="5EED13F1"/>
    <w:rsid w:val="5F1A6ABC"/>
    <w:rsid w:val="5F4E49B7"/>
    <w:rsid w:val="5F521FB0"/>
    <w:rsid w:val="5F6C7EBD"/>
    <w:rsid w:val="5F7563E8"/>
    <w:rsid w:val="5F822DB9"/>
    <w:rsid w:val="5F8959EF"/>
    <w:rsid w:val="5FBE38EB"/>
    <w:rsid w:val="5FC14A10"/>
    <w:rsid w:val="5FCB74D5"/>
    <w:rsid w:val="5FE61094"/>
    <w:rsid w:val="5FEA0B84"/>
    <w:rsid w:val="5FF014E9"/>
    <w:rsid w:val="6004431A"/>
    <w:rsid w:val="60177CAE"/>
    <w:rsid w:val="601B7856"/>
    <w:rsid w:val="602C4CF9"/>
    <w:rsid w:val="6066467D"/>
    <w:rsid w:val="606D70BF"/>
    <w:rsid w:val="607B4B93"/>
    <w:rsid w:val="60986DDD"/>
    <w:rsid w:val="609B71A7"/>
    <w:rsid w:val="609E2479"/>
    <w:rsid w:val="60BB607C"/>
    <w:rsid w:val="60D64C64"/>
    <w:rsid w:val="60F677B6"/>
    <w:rsid w:val="611539DF"/>
    <w:rsid w:val="61212675"/>
    <w:rsid w:val="612260FC"/>
    <w:rsid w:val="612C3A04"/>
    <w:rsid w:val="612D7DDF"/>
    <w:rsid w:val="61366114"/>
    <w:rsid w:val="614624E3"/>
    <w:rsid w:val="6148404C"/>
    <w:rsid w:val="61587E2C"/>
    <w:rsid w:val="615A3A54"/>
    <w:rsid w:val="618952C5"/>
    <w:rsid w:val="619D5308"/>
    <w:rsid w:val="61C00269"/>
    <w:rsid w:val="61C176C2"/>
    <w:rsid w:val="61F86A66"/>
    <w:rsid w:val="620D46B6"/>
    <w:rsid w:val="6211064A"/>
    <w:rsid w:val="62162CD6"/>
    <w:rsid w:val="621E68C3"/>
    <w:rsid w:val="62364CB2"/>
    <w:rsid w:val="62564876"/>
    <w:rsid w:val="62670D23"/>
    <w:rsid w:val="62712E97"/>
    <w:rsid w:val="62797F9D"/>
    <w:rsid w:val="628307CD"/>
    <w:rsid w:val="628C7CD0"/>
    <w:rsid w:val="62937B75"/>
    <w:rsid w:val="62AB082B"/>
    <w:rsid w:val="62BD60DC"/>
    <w:rsid w:val="62D11B87"/>
    <w:rsid w:val="62DE6668"/>
    <w:rsid w:val="62E6654B"/>
    <w:rsid w:val="62E815EB"/>
    <w:rsid w:val="62FE04A2"/>
    <w:rsid w:val="630A7DCA"/>
    <w:rsid w:val="63196BD3"/>
    <w:rsid w:val="633C21FE"/>
    <w:rsid w:val="6340397B"/>
    <w:rsid w:val="6353259C"/>
    <w:rsid w:val="63C02548"/>
    <w:rsid w:val="63C64415"/>
    <w:rsid w:val="63D1027A"/>
    <w:rsid w:val="63DD0CDE"/>
    <w:rsid w:val="63F0603D"/>
    <w:rsid w:val="63FF0976"/>
    <w:rsid w:val="64232110"/>
    <w:rsid w:val="642E0C19"/>
    <w:rsid w:val="644545DB"/>
    <w:rsid w:val="644D16E1"/>
    <w:rsid w:val="64652608"/>
    <w:rsid w:val="646A5DEF"/>
    <w:rsid w:val="646E304B"/>
    <w:rsid w:val="648061F5"/>
    <w:rsid w:val="648A46E4"/>
    <w:rsid w:val="64990483"/>
    <w:rsid w:val="64994927"/>
    <w:rsid w:val="64B15CD3"/>
    <w:rsid w:val="64B74DAD"/>
    <w:rsid w:val="64C00105"/>
    <w:rsid w:val="64D839D1"/>
    <w:rsid w:val="64DE3124"/>
    <w:rsid w:val="64EC094B"/>
    <w:rsid w:val="655B398A"/>
    <w:rsid w:val="65655FEA"/>
    <w:rsid w:val="65752C9E"/>
    <w:rsid w:val="658308A0"/>
    <w:rsid w:val="659431D5"/>
    <w:rsid w:val="659550EE"/>
    <w:rsid w:val="65B116C2"/>
    <w:rsid w:val="65B37C6A"/>
    <w:rsid w:val="65B70854"/>
    <w:rsid w:val="65BE4C34"/>
    <w:rsid w:val="65E82364"/>
    <w:rsid w:val="65F755BB"/>
    <w:rsid w:val="661A3845"/>
    <w:rsid w:val="662841B4"/>
    <w:rsid w:val="66470CE8"/>
    <w:rsid w:val="664C611E"/>
    <w:rsid w:val="66597F74"/>
    <w:rsid w:val="66763171"/>
    <w:rsid w:val="6679620B"/>
    <w:rsid w:val="668279F8"/>
    <w:rsid w:val="66835001"/>
    <w:rsid w:val="66D10861"/>
    <w:rsid w:val="66D24120"/>
    <w:rsid w:val="66ED0F5A"/>
    <w:rsid w:val="66F145A6"/>
    <w:rsid w:val="66F83B86"/>
    <w:rsid w:val="670009B5"/>
    <w:rsid w:val="67127912"/>
    <w:rsid w:val="6716501F"/>
    <w:rsid w:val="67191D4F"/>
    <w:rsid w:val="6724173E"/>
    <w:rsid w:val="673D1D39"/>
    <w:rsid w:val="676B1CEC"/>
    <w:rsid w:val="67713939"/>
    <w:rsid w:val="67852501"/>
    <w:rsid w:val="678F1D4A"/>
    <w:rsid w:val="67A96C2F"/>
    <w:rsid w:val="67C57469"/>
    <w:rsid w:val="67D363A2"/>
    <w:rsid w:val="67D86E9F"/>
    <w:rsid w:val="68040309"/>
    <w:rsid w:val="682351E1"/>
    <w:rsid w:val="683D75CE"/>
    <w:rsid w:val="68477201"/>
    <w:rsid w:val="685B4D64"/>
    <w:rsid w:val="686F7322"/>
    <w:rsid w:val="6893318D"/>
    <w:rsid w:val="68992B4F"/>
    <w:rsid w:val="689F5179"/>
    <w:rsid w:val="68A73010"/>
    <w:rsid w:val="68B21215"/>
    <w:rsid w:val="68B674E8"/>
    <w:rsid w:val="68E00D76"/>
    <w:rsid w:val="68EC5B5E"/>
    <w:rsid w:val="690F6F65"/>
    <w:rsid w:val="69117181"/>
    <w:rsid w:val="6922138F"/>
    <w:rsid w:val="692F6998"/>
    <w:rsid w:val="694C4B8B"/>
    <w:rsid w:val="69562066"/>
    <w:rsid w:val="69713590"/>
    <w:rsid w:val="69753C94"/>
    <w:rsid w:val="69A907D3"/>
    <w:rsid w:val="69BF098B"/>
    <w:rsid w:val="69C10463"/>
    <w:rsid w:val="69C23551"/>
    <w:rsid w:val="69EB1750"/>
    <w:rsid w:val="69F723FF"/>
    <w:rsid w:val="69FC5528"/>
    <w:rsid w:val="6A0161F9"/>
    <w:rsid w:val="6A0B6D09"/>
    <w:rsid w:val="6A0C16F7"/>
    <w:rsid w:val="6A336D54"/>
    <w:rsid w:val="6A6E19BD"/>
    <w:rsid w:val="6AAE5A05"/>
    <w:rsid w:val="6AB06C88"/>
    <w:rsid w:val="6AB26742"/>
    <w:rsid w:val="6AD63E2A"/>
    <w:rsid w:val="6AF863D7"/>
    <w:rsid w:val="6AFE1987"/>
    <w:rsid w:val="6AFE1EC1"/>
    <w:rsid w:val="6B0200FF"/>
    <w:rsid w:val="6B07083C"/>
    <w:rsid w:val="6B08001B"/>
    <w:rsid w:val="6B215608"/>
    <w:rsid w:val="6B2C02A3"/>
    <w:rsid w:val="6B3939AC"/>
    <w:rsid w:val="6B4A10C2"/>
    <w:rsid w:val="6B4A697B"/>
    <w:rsid w:val="6B6E2130"/>
    <w:rsid w:val="6B8F0831"/>
    <w:rsid w:val="6B92434F"/>
    <w:rsid w:val="6BA11D06"/>
    <w:rsid w:val="6BB838E4"/>
    <w:rsid w:val="6BBF6898"/>
    <w:rsid w:val="6BCE3108"/>
    <w:rsid w:val="6BDF5315"/>
    <w:rsid w:val="6C0E204F"/>
    <w:rsid w:val="6C1B7485"/>
    <w:rsid w:val="6C313697"/>
    <w:rsid w:val="6C443649"/>
    <w:rsid w:val="6C4E1136"/>
    <w:rsid w:val="6C904641"/>
    <w:rsid w:val="6CE63F9D"/>
    <w:rsid w:val="6CFE334D"/>
    <w:rsid w:val="6CFF5543"/>
    <w:rsid w:val="6D0E6DF8"/>
    <w:rsid w:val="6D34343E"/>
    <w:rsid w:val="6D4D62AE"/>
    <w:rsid w:val="6D523141"/>
    <w:rsid w:val="6D605FE2"/>
    <w:rsid w:val="6D655CEE"/>
    <w:rsid w:val="6D6E0094"/>
    <w:rsid w:val="6D723F67"/>
    <w:rsid w:val="6D8371D6"/>
    <w:rsid w:val="6D84218A"/>
    <w:rsid w:val="6DAE7B41"/>
    <w:rsid w:val="6DD61A69"/>
    <w:rsid w:val="6DEC3D19"/>
    <w:rsid w:val="6E01228F"/>
    <w:rsid w:val="6E027C29"/>
    <w:rsid w:val="6E1041E0"/>
    <w:rsid w:val="6E2A65EF"/>
    <w:rsid w:val="6E346D22"/>
    <w:rsid w:val="6E4B4EE4"/>
    <w:rsid w:val="6E6B2E90"/>
    <w:rsid w:val="6E7066F8"/>
    <w:rsid w:val="6E9248C1"/>
    <w:rsid w:val="6EE36ECA"/>
    <w:rsid w:val="6F071241"/>
    <w:rsid w:val="6F084B83"/>
    <w:rsid w:val="6F12155D"/>
    <w:rsid w:val="6F3C4A8C"/>
    <w:rsid w:val="6F412E35"/>
    <w:rsid w:val="6F475788"/>
    <w:rsid w:val="6F4F00E4"/>
    <w:rsid w:val="6F5321EF"/>
    <w:rsid w:val="6F5F49DF"/>
    <w:rsid w:val="6FA43FE7"/>
    <w:rsid w:val="6FAF4FFE"/>
    <w:rsid w:val="6FC62348"/>
    <w:rsid w:val="6FEE1FCA"/>
    <w:rsid w:val="6FFE4090"/>
    <w:rsid w:val="700048AD"/>
    <w:rsid w:val="7029487B"/>
    <w:rsid w:val="70467840"/>
    <w:rsid w:val="704936A5"/>
    <w:rsid w:val="70553DF8"/>
    <w:rsid w:val="706510B7"/>
    <w:rsid w:val="70673B2B"/>
    <w:rsid w:val="706752BF"/>
    <w:rsid w:val="706D1F5E"/>
    <w:rsid w:val="70746CA7"/>
    <w:rsid w:val="707F52F0"/>
    <w:rsid w:val="708029EC"/>
    <w:rsid w:val="70A81A46"/>
    <w:rsid w:val="70A94143"/>
    <w:rsid w:val="70B12D12"/>
    <w:rsid w:val="70B80DF2"/>
    <w:rsid w:val="70D95A71"/>
    <w:rsid w:val="71083908"/>
    <w:rsid w:val="710B6BAC"/>
    <w:rsid w:val="710D3B90"/>
    <w:rsid w:val="71265794"/>
    <w:rsid w:val="712C1E01"/>
    <w:rsid w:val="712E7FD9"/>
    <w:rsid w:val="71357785"/>
    <w:rsid w:val="716B13F9"/>
    <w:rsid w:val="718A619C"/>
    <w:rsid w:val="71913E17"/>
    <w:rsid w:val="71B42DA0"/>
    <w:rsid w:val="71C44E04"/>
    <w:rsid w:val="71C72AD3"/>
    <w:rsid w:val="71EB37C4"/>
    <w:rsid w:val="71F55298"/>
    <w:rsid w:val="71F93EA3"/>
    <w:rsid w:val="721175FF"/>
    <w:rsid w:val="727C1451"/>
    <w:rsid w:val="728E3138"/>
    <w:rsid w:val="728F5564"/>
    <w:rsid w:val="72A746B3"/>
    <w:rsid w:val="72B0523F"/>
    <w:rsid w:val="72B76A57"/>
    <w:rsid w:val="72B8241C"/>
    <w:rsid w:val="72C665E8"/>
    <w:rsid w:val="72E90827"/>
    <w:rsid w:val="72EE5E3E"/>
    <w:rsid w:val="72F84F0E"/>
    <w:rsid w:val="730053D6"/>
    <w:rsid w:val="73133AF6"/>
    <w:rsid w:val="731C128A"/>
    <w:rsid w:val="733F6699"/>
    <w:rsid w:val="734928A9"/>
    <w:rsid w:val="734E4B2E"/>
    <w:rsid w:val="735B0E40"/>
    <w:rsid w:val="735C724B"/>
    <w:rsid w:val="73632BBC"/>
    <w:rsid w:val="738B0D99"/>
    <w:rsid w:val="738B58EE"/>
    <w:rsid w:val="73920EBF"/>
    <w:rsid w:val="73D5183E"/>
    <w:rsid w:val="73D70FC8"/>
    <w:rsid w:val="73DF4550"/>
    <w:rsid w:val="742A7A63"/>
    <w:rsid w:val="745355E4"/>
    <w:rsid w:val="74552DE1"/>
    <w:rsid w:val="746C7EA7"/>
    <w:rsid w:val="746E7EC4"/>
    <w:rsid w:val="74732A9E"/>
    <w:rsid w:val="747405C4"/>
    <w:rsid w:val="7479207F"/>
    <w:rsid w:val="74A013B9"/>
    <w:rsid w:val="74A403E7"/>
    <w:rsid w:val="74BF6BF4"/>
    <w:rsid w:val="74C23A26"/>
    <w:rsid w:val="74D22193"/>
    <w:rsid w:val="74DD616A"/>
    <w:rsid w:val="74EF47F6"/>
    <w:rsid w:val="7505484D"/>
    <w:rsid w:val="750962E9"/>
    <w:rsid w:val="7514693A"/>
    <w:rsid w:val="751B4C8B"/>
    <w:rsid w:val="75241FEA"/>
    <w:rsid w:val="75390090"/>
    <w:rsid w:val="753F5076"/>
    <w:rsid w:val="75436915"/>
    <w:rsid w:val="755B467A"/>
    <w:rsid w:val="75635038"/>
    <w:rsid w:val="75673728"/>
    <w:rsid w:val="757C3BD5"/>
    <w:rsid w:val="75921356"/>
    <w:rsid w:val="7597552D"/>
    <w:rsid w:val="759D1172"/>
    <w:rsid w:val="75A1363B"/>
    <w:rsid w:val="75B50E95"/>
    <w:rsid w:val="75C16B57"/>
    <w:rsid w:val="75CC637A"/>
    <w:rsid w:val="75D43A11"/>
    <w:rsid w:val="75DE03EB"/>
    <w:rsid w:val="75E0028E"/>
    <w:rsid w:val="75F35438"/>
    <w:rsid w:val="75F4395A"/>
    <w:rsid w:val="75F93BB2"/>
    <w:rsid w:val="75FB71EF"/>
    <w:rsid w:val="7614205F"/>
    <w:rsid w:val="761F7480"/>
    <w:rsid w:val="762021F0"/>
    <w:rsid w:val="76263B40"/>
    <w:rsid w:val="76386C8B"/>
    <w:rsid w:val="76911902"/>
    <w:rsid w:val="769548F7"/>
    <w:rsid w:val="76CE5F06"/>
    <w:rsid w:val="76DE27AE"/>
    <w:rsid w:val="77016876"/>
    <w:rsid w:val="77073972"/>
    <w:rsid w:val="770F16A1"/>
    <w:rsid w:val="77166776"/>
    <w:rsid w:val="77275DC2"/>
    <w:rsid w:val="772C5186"/>
    <w:rsid w:val="7745657A"/>
    <w:rsid w:val="77490EAB"/>
    <w:rsid w:val="77617526"/>
    <w:rsid w:val="777728A5"/>
    <w:rsid w:val="77807385"/>
    <w:rsid w:val="77A03675"/>
    <w:rsid w:val="77BF1B3E"/>
    <w:rsid w:val="77BF424C"/>
    <w:rsid w:val="77C22569"/>
    <w:rsid w:val="77CE4490"/>
    <w:rsid w:val="77E912C9"/>
    <w:rsid w:val="77EE52A6"/>
    <w:rsid w:val="77F75CBA"/>
    <w:rsid w:val="78216CB5"/>
    <w:rsid w:val="783C764B"/>
    <w:rsid w:val="7843362C"/>
    <w:rsid w:val="78442EB8"/>
    <w:rsid w:val="784A7FBA"/>
    <w:rsid w:val="78654DF4"/>
    <w:rsid w:val="7879264D"/>
    <w:rsid w:val="78837FE7"/>
    <w:rsid w:val="788A6608"/>
    <w:rsid w:val="78933F37"/>
    <w:rsid w:val="78A51694"/>
    <w:rsid w:val="78B06FB6"/>
    <w:rsid w:val="78B37CE8"/>
    <w:rsid w:val="78B50E54"/>
    <w:rsid w:val="78CA5CA1"/>
    <w:rsid w:val="78D45AD6"/>
    <w:rsid w:val="78D74917"/>
    <w:rsid w:val="78E75809"/>
    <w:rsid w:val="791B3704"/>
    <w:rsid w:val="792C38AF"/>
    <w:rsid w:val="79312C3C"/>
    <w:rsid w:val="79444A09"/>
    <w:rsid w:val="797535A9"/>
    <w:rsid w:val="79870D9A"/>
    <w:rsid w:val="79A3307E"/>
    <w:rsid w:val="79A47B9E"/>
    <w:rsid w:val="79B80F53"/>
    <w:rsid w:val="79CE698F"/>
    <w:rsid w:val="79E04FFF"/>
    <w:rsid w:val="79E31A8E"/>
    <w:rsid w:val="79EA3009"/>
    <w:rsid w:val="79FB2AE3"/>
    <w:rsid w:val="7A195E96"/>
    <w:rsid w:val="7A1E5B2D"/>
    <w:rsid w:val="7A773BBC"/>
    <w:rsid w:val="7A97325F"/>
    <w:rsid w:val="7ABA3227"/>
    <w:rsid w:val="7AC57DCC"/>
    <w:rsid w:val="7AE64015"/>
    <w:rsid w:val="7B183EF9"/>
    <w:rsid w:val="7B330EE8"/>
    <w:rsid w:val="7B360F45"/>
    <w:rsid w:val="7B4E73EA"/>
    <w:rsid w:val="7B6C46EB"/>
    <w:rsid w:val="7B816900"/>
    <w:rsid w:val="7B876E2F"/>
    <w:rsid w:val="7B915F00"/>
    <w:rsid w:val="7BAC4DCE"/>
    <w:rsid w:val="7BB213FF"/>
    <w:rsid w:val="7BC96777"/>
    <w:rsid w:val="7BC970A3"/>
    <w:rsid w:val="7BDB49F2"/>
    <w:rsid w:val="7BE05BB5"/>
    <w:rsid w:val="7BED378C"/>
    <w:rsid w:val="7C144785"/>
    <w:rsid w:val="7C4A7E3F"/>
    <w:rsid w:val="7C4B76A1"/>
    <w:rsid w:val="7C594C70"/>
    <w:rsid w:val="7C8A3487"/>
    <w:rsid w:val="7C8D7D17"/>
    <w:rsid w:val="7CD10CAA"/>
    <w:rsid w:val="7CDA0416"/>
    <w:rsid w:val="7CE465DC"/>
    <w:rsid w:val="7CEF518A"/>
    <w:rsid w:val="7CFB7ED9"/>
    <w:rsid w:val="7D3B4375"/>
    <w:rsid w:val="7D445BF0"/>
    <w:rsid w:val="7D474AC8"/>
    <w:rsid w:val="7D553689"/>
    <w:rsid w:val="7D6E02A7"/>
    <w:rsid w:val="7D7907C3"/>
    <w:rsid w:val="7D876E00"/>
    <w:rsid w:val="7DA2467C"/>
    <w:rsid w:val="7DA97531"/>
    <w:rsid w:val="7DBA173E"/>
    <w:rsid w:val="7DEA7D89"/>
    <w:rsid w:val="7DED1B13"/>
    <w:rsid w:val="7E070757"/>
    <w:rsid w:val="7E110DAD"/>
    <w:rsid w:val="7E1A042F"/>
    <w:rsid w:val="7E1F3C97"/>
    <w:rsid w:val="7E5356EF"/>
    <w:rsid w:val="7E5610F7"/>
    <w:rsid w:val="7E70511F"/>
    <w:rsid w:val="7E7C55CE"/>
    <w:rsid w:val="7E9A331D"/>
    <w:rsid w:val="7E9C43E1"/>
    <w:rsid w:val="7E9F11D5"/>
    <w:rsid w:val="7EA53029"/>
    <w:rsid w:val="7EAD0613"/>
    <w:rsid w:val="7ED065A4"/>
    <w:rsid w:val="7ED54355"/>
    <w:rsid w:val="7EFB200E"/>
    <w:rsid w:val="7EFC18E2"/>
    <w:rsid w:val="7EFC7B34"/>
    <w:rsid w:val="7F3472CE"/>
    <w:rsid w:val="7F3617D9"/>
    <w:rsid w:val="7F533BF8"/>
    <w:rsid w:val="7F5846B4"/>
    <w:rsid w:val="7F8A5140"/>
    <w:rsid w:val="7FDE1CA0"/>
    <w:rsid w:val="7FE63D03"/>
    <w:rsid w:val="7FF5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outlineLvl w:val="0"/>
    </w:pPr>
    <w:rPr>
      <w:rFonts w:ascii="Calibri" w:hAnsi="Calibri" w:eastAsia="宋体" w:cs="Times New Roman"/>
      <w:b/>
      <w:bCs/>
      <w:sz w:val="18"/>
      <w:szCs w:val="2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qFormat/>
    <w:uiPriority w:val="9"/>
    <w:pPr>
      <w:keepNext/>
      <w:keepLines/>
      <w:spacing w:before="280" w:after="290" w:line="376" w:lineRule="auto"/>
      <w:outlineLvl w:val="3"/>
    </w:pPr>
    <w:rPr>
      <w:rFonts w:ascii="Arial" w:hAnsi="Arial" w:eastAsia="黑体" w:cs="Times New Roman"/>
      <w:b/>
      <w:bCs/>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link w:val="55"/>
    <w:qFormat/>
    <w:uiPriority w:val="0"/>
    <w:pPr>
      <w:widowControl/>
      <w:ind w:firstLine="420"/>
      <w:jc w:val="left"/>
    </w:pPr>
    <w:rPr>
      <w:rFonts w:ascii="Calibri" w:hAnsi="Calibri" w:eastAsia="宋体" w:cs="Times New Roman"/>
      <w:kern w:val="0"/>
      <w:sz w:val="20"/>
      <w:szCs w:val="20"/>
    </w:rPr>
  </w:style>
  <w:style w:type="paragraph" w:styleId="7">
    <w:name w:val="Body Text"/>
    <w:basedOn w:val="1"/>
    <w:link w:val="43"/>
    <w:semiHidden/>
    <w:unhideWhenUsed/>
    <w:qFormat/>
    <w:uiPriority w:val="99"/>
    <w:pPr>
      <w:spacing w:after="120"/>
    </w:pPr>
    <w:rPr>
      <w:rFonts w:ascii="Times New Roman" w:hAnsi="Times New Roman" w:eastAsia="宋体" w:cs="Times New Roman"/>
      <w:szCs w:val="24"/>
    </w:rPr>
  </w:style>
  <w:style w:type="paragraph" w:styleId="8">
    <w:name w:val="annotation text"/>
    <w:basedOn w:val="1"/>
    <w:link w:val="54"/>
    <w:unhideWhenUsed/>
    <w:qFormat/>
    <w:uiPriority w:val="0"/>
    <w:pPr>
      <w:jc w:val="left"/>
    </w:pPr>
    <w:rPr>
      <w:rFonts w:ascii="Times New Roman" w:hAnsi="Times New Roman" w:eastAsia="宋体" w:cs="Times New Roman"/>
      <w:szCs w:val="24"/>
    </w:rPr>
  </w:style>
  <w:style w:type="paragraph" w:styleId="9">
    <w:name w:val="Body Text Indent"/>
    <w:basedOn w:val="1"/>
    <w:qFormat/>
    <w:uiPriority w:val="0"/>
    <w:pPr>
      <w:ind w:firstLine="360" w:firstLineChars="200"/>
    </w:pPr>
    <w:rPr>
      <w:sz w:val="18"/>
    </w:rPr>
  </w:style>
  <w:style w:type="paragraph" w:styleId="10">
    <w:name w:val="Block Text"/>
    <w:basedOn w:val="1"/>
    <w:qFormat/>
    <w:uiPriority w:val="0"/>
    <w:pPr>
      <w:spacing w:line="600" w:lineRule="exact"/>
      <w:ind w:left="-40" w:right="-198" w:firstLine="560" w:firstLineChars="200"/>
    </w:pPr>
    <w:rPr>
      <w:rFonts w:ascii="宋体" w:hAnsi="宋体"/>
      <w:sz w:val="28"/>
    </w:rPr>
  </w:style>
  <w:style w:type="paragraph" w:styleId="11">
    <w:name w:val="toc 3"/>
    <w:basedOn w:val="1"/>
    <w:next w:val="1"/>
    <w:unhideWhenUsed/>
    <w:qFormat/>
    <w:uiPriority w:val="39"/>
    <w:pPr>
      <w:ind w:left="840" w:leftChars="400"/>
    </w:pPr>
  </w:style>
  <w:style w:type="paragraph" w:styleId="12">
    <w:name w:val="Plain Text"/>
    <w:basedOn w:val="1"/>
    <w:link w:val="45"/>
    <w:qFormat/>
    <w:uiPriority w:val="0"/>
    <w:rPr>
      <w:rFonts w:ascii="宋体" w:hAnsi="Courier New" w:eastAsia="宋体"/>
    </w:rPr>
  </w:style>
  <w:style w:type="paragraph" w:styleId="13">
    <w:name w:val="Date"/>
    <w:basedOn w:val="1"/>
    <w:next w:val="1"/>
    <w:link w:val="53"/>
    <w:semiHidden/>
    <w:unhideWhenUsed/>
    <w:qFormat/>
    <w:uiPriority w:val="99"/>
    <w:pPr>
      <w:ind w:left="100" w:leftChars="2500"/>
    </w:pPr>
  </w:style>
  <w:style w:type="paragraph" w:styleId="14">
    <w:name w:val="Balloon Text"/>
    <w:basedOn w:val="1"/>
    <w:link w:val="50"/>
    <w:semiHidden/>
    <w:unhideWhenUsed/>
    <w:qFormat/>
    <w:uiPriority w:val="99"/>
    <w:rPr>
      <w:sz w:val="18"/>
      <w:szCs w:val="18"/>
    </w:rPr>
  </w:style>
  <w:style w:type="paragraph" w:styleId="15">
    <w:name w:val="footer"/>
    <w:basedOn w:val="1"/>
    <w:link w:val="33"/>
    <w:unhideWhenUsed/>
    <w:qFormat/>
    <w:uiPriority w:val="0"/>
    <w:pPr>
      <w:tabs>
        <w:tab w:val="center" w:pos="4153"/>
        <w:tab w:val="right" w:pos="8306"/>
      </w:tabs>
      <w:snapToGrid w:val="0"/>
      <w:jc w:val="left"/>
    </w:pPr>
    <w:rPr>
      <w:sz w:val="18"/>
      <w:szCs w:val="18"/>
    </w:rPr>
  </w:style>
  <w:style w:type="paragraph" w:styleId="16">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20">
    <w:name w:val="Title"/>
    <w:basedOn w:val="1"/>
    <w:next w:val="1"/>
    <w:link w:val="52"/>
    <w:qFormat/>
    <w:uiPriority w:val="0"/>
    <w:pPr>
      <w:spacing w:before="240" w:after="60"/>
      <w:jc w:val="center"/>
      <w:outlineLvl w:val="0"/>
    </w:pPr>
    <w:rPr>
      <w:rFonts w:ascii="Cambria" w:hAnsi="Cambria" w:eastAsia="宋体" w:cs="Times New Roman"/>
      <w:b/>
      <w:bCs/>
      <w:sz w:val="32"/>
      <w:szCs w:val="32"/>
    </w:rPr>
  </w:style>
  <w:style w:type="paragraph" w:styleId="21">
    <w:name w:val="annotation subject"/>
    <w:basedOn w:val="8"/>
    <w:next w:val="8"/>
    <w:link w:val="57"/>
    <w:semiHidden/>
    <w:unhideWhenUsed/>
    <w:qFormat/>
    <w:uiPriority w:val="99"/>
    <w:rPr>
      <w:rFonts w:asciiTheme="minorHAnsi" w:hAnsiTheme="minorHAnsi" w:eastAsiaTheme="minorEastAsia" w:cstheme="minorBidi"/>
      <w:b/>
      <w:bCs/>
      <w:szCs w:val="22"/>
    </w:rPr>
  </w:style>
  <w:style w:type="paragraph" w:styleId="22">
    <w:name w:val="Body Text First Indent"/>
    <w:basedOn w:val="1"/>
    <w:link w:val="44"/>
    <w:unhideWhenUsed/>
    <w:qFormat/>
    <w:uiPriority w:val="99"/>
    <w:pPr>
      <w:ind w:firstLine="420" w:firstLineChars="100"/>
    </w:pPr>
  </w:style>
  <w:style w:type="paragraph" w:styleId="23">
    <w:name w:val="Body Text First Indent 2"/>
    <w:basedOn w:val="9"/>
    <w:qFormat/>
    <w:uiPriority w:val="0"/>
    <w:pPr>
      <w:adjustRightInd w:val="0"/>
      <w:spacing w:line="312" w:lineRule="atLeast"/>
      <w:ind w:leftChars="450" w:firstLine="210"/>
      <w:textAlignment w:val="baseline"/>
    </w:pPr>
    <w:rPr>
      <w:rFonts w:ascii="宋体"/>
      <w:b/>
      <w:kern w:val="0"/>
      <w:szCs w:val="20"/>
    </w:rPr>
  </w:style>
  <w:style w:type="table" w:styleId="25">
    <w:name w:val="Table Grid"/>
    <w:basedOn w:val="2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Hyperlink"/>
    <w:basedOn w:val="26"/>
    <w:qFormat/>
    <w:uiPriority w:val="99"/>
    <w:rPr>
      <w:rFonts w:ascii="Calibri" w:hAnsi="Calibri" w:eastAsia="宋体" w:cs="Times New Roman"/>
      <w:color w:val="338DE6"/>
      <w:u w:val="none"/>
    </w:rPr>
  </w:style>
  <w:style w:type="character" w:styleId="29">
    <w:name w:val="annotation reference"/>
    <w:basedOn w:val="26"/>
    <w:semiHidden/>
    <w:unhideWhenUsed/>
    <w:qFormat/>
    <w:uiPriority w:val="99"/>
    <w:rPr>
      <w:sz w:val="21"/>
      <w:szCs w:val="21"/>
    </w:rPr>
  </w:style>
  <w:style w:type="character" w:customStyle="1" w:styleId="30">
    <w:name w:val="标题 3 Char"/>
    <w:basedOn w:val="26"/>
    <w:link w:val="4"/>
    <w:qFormat/>
    <w:uiPriority w:val="9"/>
    <w:rPr>
      <w:b/>
      <w:bCs/>
      <w:sz w:val="32"/>
      <w:szCs w:val="32"/>
    </w:rPr>
  </w:style>
  <w:style w:type="character" w:customStyle="1" w:styleId="31">
    <w:name w:val="标题 4 Char"/>
    <w:basedOn w:val="26"/>
    <w:link w:val="5"/>
    <w:qFormat/>
    <w:uiPriority w:val="9"/>
    <w:rPr>
      <w:rFonts w:ascii="Arial" w:hAnsi="Arial" w:eastAsia="黑体" w:cs="Times New Roman"/>
      <w:b/>
      <w:bCs/>
      <w:sz w:val="28"/>
      <w:szCs w:val="28"/>
      <w:lang w:val="zh-CN"/>
    </w:rPr>
  </w:style>
  <w:style w:type="character" w:customStyle="1" w:styleId="32">
    <w:name w:val="页眉 Char"/>
    <w:basedOn w:val="26"/>
    <w:link w:val="16"/>
    <w:qFormat/>
    <w:uiPriority w:val="0"/>
    <w:rPr>
      <w:sz w:val="18"/>
      <w:szCs w:val="18"/>
    </w:rPr>
  </w:style>
  <w:style w:type="character" w:customStyle="1" w:styleId="33">
    <w:name w:val="页脚 Char"/>
    <w:basedOn w:val="26"/>
    <w:link w:val="15"/>
    <w:qFormat/>
    <w:uiPriority w:val="0"/>
    <w:rPr>
      <w:sz w:val="18"/>
      <w:szCs w:val="18"/>
    </w:rPr>
  </w:style>
  <w:style w:type="character" w:customStyle="1" w:styleId="34">
    <w:name w:val="标题 1 Char"/>
    <w:basedOn w:val="26"/>
    <w:link w:val="2"/>
    <w:qFormat/>
    <w:uiPriority w:val="0"/>
    <w:rPr>
      <w:rFonts w:ascii="Calibri" w:hAnsi="Calibri" w:eastAsia="宋体" w:cs="Times New Roman"/>
      <w:b/>
      <w:bCs/>
      <w:sz w:val="18"/>
      <w:szCs w:val="24"/>
    </w:rPr>
  </w:style>
  <w:style w:type="paragraph" w:customStyle="1" w:styleId="35">
    <w:name w:val="p0"/>
    <w:basedOn w:val="1"/>
    <w:qFormat/>
    <w:uiPriority w:val="0"/>
    <w:pPr>
      <w:widowControl/>
      <w:spacing w:line="360" w:lineRule="auto"/>
      <w:jc w:val="left"/>
    </w:pPr>
    <w:rPr>
      <w:rFonts w:ascii="Calibri" w:hAnsi="Calibri" w:eastAsia="宋体" w:cs="Times New Roman"/>
      <w:kern w:val="0"/>
      <w:sz w:val="24"/>
      <w:szCs w:val="24"/>
    </w:rPr>
  </w:style>
  <w:style w:type="character" w:customStyle="1" w:styleId="36">
    <w:name w:val="标题 2 Char"/>
    <w:basedOn w:val="26"/>
    <w:link w:val="3"/>
    <w:qFormat/>
    <w:uiPriority w:val="9"/>
    <w:rPr>
      <w:rFonts w:asciiTheme="majorHAnsi" w:hAnsiTheme="majorHAnsi" w:eastAsiaTheme="majorEastAsia" w:cstheme="majorBidi"/>
      <w:b/>
      <w:bCs/>
      <w:sz w:val="32"/>
      <w:szCs w:val="32"/>
    </w:rPr>
  </w:style>
  <w:style w:type="character" w:customStyle="1" w:styleId="37">
    <w:name w:val="页脚 Char1"/>
    <w:basedOn w:val="26"/>
    <w:semiHidden/>
    <w:qFormat/>
    <w:uiPriority w:val="99"/>
    <w:rPr>
      <w:rFonts w:ascii="Times New Roman" w:hAnsi="Times New Roman" w:eastAsia="宋体" w:cs="Times New Roman"/>
      <w:sz w:val="18"/>
      <w:szCs w:val="18"/>
    </w:rPr>
  </w:style>
  <w:style w:type="character" w:customStyle="1" w:styleId="38">
    <w:name w:val="页眉 Char1"/>
    <w:basedOn w:val="26"/>
    <w:semiHidden/>
    <w:qFormat/>
    <w:uiPriority w:val="99"/>
    <w:rPr>
      <w:rFonts w:ascii="Times New Roman" w:hAnsi="Times New Roman" w:eastAsia="宋体" w:cs="Times New Roman"/>
      <w:sz w:val="18"/>
      <w:szCs w:val="18"/>
    </w:rPr>
  </w:style>
  <w:style w:type="paragraph" w:customStyle="1" w:styleId="39">
    <w:name w:val="正文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4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准正文（小四、1.5倍行距） 字符"/>
    <w:link w:val="42"/>
    <w:qFormat/>
    <w:locked/>
    <w:uiPriority w:val="0"/>
    <w:rPr>
      <w:rFonts w:ascii="仿宋_GB2312" w:hAnsi="仿宋_GB2312" w:eastAsia="仿宋_GB2312" w:cs="仿宋_GB2312"/>
      <w:sz w:val="32"/>
      <w:szCs w:val="32"/>
    </w:rPr>
  </w:style>
  <w:style w:type="paragraph" w:customStyle="1" w:styleId="42">
    <w:name w:val="标准正文（小四、1.5倍行距）"/>
    <w:basedOn w:val="1"/>
    <w:link w:val="41"/>
    <w:qFormat/>
    <w:uiPriority w:val="0"/>
    <w:pPr>
      <w:spacing w:line="360" w:lineRule="auto"/>
      <w:ind w:firstLine="480" w:firstLineChars="200"/>
    </w:pPr>
    <w:rPr>
      <w:rFonts w:ascii="仿宋_GB2312" w:hAnsi="仿宋_GB2312" w:eastAsia="仿宋_GB2312" w:cs="仿宋_GB2312"/>
      <w:sz w:val="32"/>
      <w:szCs w:val="32"/>
    </w:rPr>
  </w:style>
  <w:style w:type="character" w:customStyle="1" w:styleId="43">
    <w:name w:val="正文文本 Char"/>
    <w:basedOn w:val="26"/>
    <w:link w:val="7"/>
    <w:semiHidden/>
    <w:qFormat/>
    <w:uiPriority w:val="99"/>
    <w:rPr>
      <w:rFonts w:ascii="Times New Roman" w:hAnsi="Times New Roman" w:eastAsia="宋体" w:cs="Times New Roman"/>
      <w:szCs w:val="24"/>
    </w:rPr>
  </w:style>
  <w:style w:type="character" w:customStyle="1" w:styleId="44">
    <w:name w:val="正文首行缩进 Char"/>
    <w:basedOn w:val="43"/>
    <w:link w:val="22"/>
    <w:qFormat/>
    <w:uiPriority w:val="99"/>
    <w:rPr>
      <w:rFonts w:ascii="Times New Roman" w:hAnsi="Times New Roman" w:eastAsia="宋体" w:cs="Times New Roman"/>
      <w:szCs w:val="24"/>
    </w:rPr>
  </w:style>
  <w:style w:type="character" w:customStyle="1" w:styleId="45">
    <w:name w:val="纯文本 Char"/>
    <w:link w:val="12"/>
    <w:qFormat/>
    <w:uiPriority w:val="0"/>
    <w:rPr>
      <w:rFonts w:ascii="宋体" w:hAnsi="Courier New" w:eastAsia="宋体"/>
    </w:rPr>
  </w:style>
  <w:style w:type="character" w:customStyle="1" w:styleId="46">
    <w:name w:val="纯文本 Char1"/>
    <w:basedOn w:val="26"/>
    <w:semiHidden/>
    <w:qFormat/>
    <w:uiPriority w:val="99"/>
    <w:rPr>
      <w:rFonts w:ascii="宋体" w:hAnsi="Courier New" w:eastAsia="宋体" w:cs="Courier New"/>
      <w:szCs w:val="21"/>
    </w:rPr>
  </w:style>
  <w:style w:type="paragraph" w:styleId="47">
    <w:name w:val="List Paragraph"/>
    <w:basedOn w:val="1"/>
    <w:qFormat/>
    <w:uiPriority w:val="99"/>
    <w:pPr>
      <w:ind w:firstLine="420" w:firstLineChars="200"/>
    </w:pPr>
    <w:rPr>
      <w:rFonts w:ascii="Times New Roman" w:hAnsi="Times New Roman" w:eastAsia="宋体" w:cs="Times New Roman"/>
      <w:szCs w:val="24"/>
    </w:rPr>
  </w:style>
  <w:style w:type="paragraph" w:customStyle="1" w:styleId="48">
    <w:name w:val="本文正文段落格式"/>
    <w:basedOn w:val="1"/>
    <w:qFormat/>
    <w:uiPriority w:val="0"/>
    <w:pPr>
      <w:widowControl/>
      <w:adjustRightInd w:val="0"/>
      <w:snapToGrid w:val="0"/>
      <w:spacing w:line="360" w:lineRule="auto"/>
      <w:ind w:firstLine="482"/>
      <w:jc w:val="left"/>
    </w:pPr>
    <w:rPr>
      <w:rFonts w:ascii="Calibri" w:hAnsi="Calibri" w:eastAsia="宋体" w:cs="Times New Roman"/>
      <w:kern w:val="0"/>
      <w:sz w:val="28"/>
      <w:szCs w:val="24"/>
      <w:lang w:val="zh-CN"/>
    </w:rPr>
  </w:style>
  <w:style w:type="paragraph" w:customStyle="1" w:styleId="49">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批注框文本 Char"/>
    <w:basedOn w:val="26"/>
    <w:link w:val="14"/>
    <w:semiHidden/>
    <w:qFormat/>
    <w:uiPriority w:val="99"/>
    <w:rPr>
      <w:sz w:val="18"/>
      <w:szCs w:val="18"/>
    </w:rPr>
  </w:style>
  <w:style w:type="paragraph" w:customStyle="1" w:styleId="51">
    <w:name w:val="bt1bt1"/>
    <w:basedOn w:val="2"/>
    <w:qFormat/>
    <w:uiPriority w:val="0"/>
    <w:pPr>
      <w:keepLines/>
      <w:spacing w:before="340" w:after="330"/>
      <w:jc w:val="center"/>
    </w:pPr>
    <w:rPr>
      <w:rFonts w:ascii="黑体" w:hAnsi="Times New Roman" w:eastAsia="黑体"/>
      <w:b w:val="0"/>
      <w:kern w:val="44"/>
      <w:sz w:val="36"/>
      <w:szCs w:val="36"/>
    </w:rPr>
  </w:style>
  <w:style w:type="character" w:customStyle="1" w:styleId="52">
    <w:name w:val="标题 Char"/>
    <w:basedOn w:val="26"/>
    <w:link w:val="20"/>
    <w:qFormat/>
    <w:uiPriority w:val="0"/>
    <w:rPr>
      <w:rFonts w:ascii="Cambria" w:hAnsi="Cambria" w:eastAsia="宋体" w:cs="Times New Roman"/>
      <w:b/>
      <w:bCs/>
      <w:sz w:val="32"/>
      <w:szCs w:val="32"/>
    </w:rPr>
  </w:style>
  <w:style w:type="character" w:customStyle="1" w:styleId="53">
    <w:name w:val="日期 Char"/>
    <w:basedOn w:val="26"/>
    <w:link w:val="13"/>
    <w:semiHidden/>
    <w:qFormat/>
    <w:uiPriority w:val="99"/>
  </w:style>
  <w:style w:type="character" w:customStyle="1" w:styleId="54">
    <w:name w:val="批注文字 Char"/>
    <w:basedOn w:val="26"/>
    <w:link w:val="8"/>
    <w:qFormat/>
    <w:uiPriority w:val="0"/>
    <w:rPr>
      <w:rFonts w:ascii="Times New Roman" w:hAnsi="Times New Roman" w:eastAsia="宋体" w:cs="Times New Roman"/>
      <w:szCs w:val="24"/>
    </w:rPr>
  </w:style>
  <w:style w:type="character" w:customStyle="1" w:styleId="55">
    <w:name w:val="正文缩进 Char"/>
    <w:link w:val="6"/>
    <w:qFormat/>
    <w:uiPriority w:val="0"/>
    <w:rPr>
      <w:rFonts w:ascii="Calibri" w:hAnsi="Calibri" w:eastAsia="宋体" w:cs="Times New Roman"/>
      <w:kern w:val="0"/>
      <w:sz w:val="20"/>
      <w:szCs w:val="20"/>
    </w:rPr>
  </w:style>
  <w:style w:type="paragraph" w:customStyle="1" w:styleId="56">
    <w:name w:val="纯文本1"/>
    <w:basedOn w:val="1"/>
    <w:qFormat/>
    <w:uiPriority w:val="0"/>
    <w:pPr>
      <w:adjustRightInd w:val="0"/>
      <w:textAlignment w:val="baseline"/>
    </w:pPr>
    <w:rPr>
      <w:rFonts w:ascii="宋体" w:hAnsi="Courier New" w:eastAsia="楷体_GB2312" w:cs="Times New Roman"/>
      <w:sz w:val="26"/>
      <w:szCs w:val="20"/>
    </w:rPr>
  </w:style>
  <w:style w:type="character" w:customStyle="1" w:styleId="57">
    <w:name w:val="批注主题 Char"/>
    <w:basedOn w:val="54"/>
    <w:link w:val="21"/>
    <w:semiHidden/>
    <w:qFormat/>
    <w:uiPriority w:val="99"/>
    <w:rPr>
      <w:rFonts w:ascii="Times New Roman" w:hAnsi="Times New Roman" w:eastAsia="宋体" w:cs="Times New Roman"/>
      <w:b/>
      <w:bCs/>
      <w:szCs w:val="24"/>
    </w:rPr>
  </w:style>
  <w:style w:type="paragraph" w:customStyle="1" w:styleId="58">
    <w:name w:val="列出段落1"/>
    <w:basedOn w:val="1"/>
    <w:qFormat/>
    <w:uiPriority w:val="0"/>
    <w:pPr>
      <w:ind w:firstLine="420" w:firstLineChars="200"/>
    </w:pPr>
    <w:rPr>
      <w:szCs w:val="20"/>
    </w:rPr>
  </w:style>
  <w:style w:type="paragraph" w:customStyle="1" w:styleId="59">
    <w:name w:val="Default"/>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60">
    <w:name w:val="Table Paragraph"/>
    <w:basedOn w:val="1"/>
    <w:qFormat/>
    <w:uiPriority w:val="1"/>
    <w:rPr>
      <w:lang w:eastAsia="en-US"/>
    </w:rPr>
  </w:style>
  <w:style w:type="table" w:customStyle="1" w:styleId="61">
    <w:name w:val="Table Normal"/>
    <w:semiHidden/>
    <w:unhideWhenUsed/>
    <w:qFormat/>
    <w:uiPriority w:val="2"/>
    <w:pPr>
      <w:widowControl w:val="0"/>
    </w:pPr>
    <w:rPr>
      <w:rFonts w:eastAsiaTheme="minorEastAsia"/>
      <w:lang w:eastAsia="en-US"/>
    </w:rPr>
    <w:tblPr>
      <w:tblCellMar>
        <w:top w:w="0" w:type="dxa"/>
        <w:left w:w="0" w:type="dxa"/>
        <w:bottom w:w="0" w:type="dxa"/>
        <w:right w:w="0" w:type="dxa"/>
      </w:tblCellMar>
    </w:tblPr>
  </w:style>
  <w:style w:type="paragraph" w:customStyle="1" w:styleId="62">
    <w:name w:val="Heading 2"/>
    <w:basedOn w:val="1"/>
    <w:qFormat/>
    <w:uiPriority w:val="1"/>
    <w:pPr>
      <w:ind w:left="217"/>
      <w:jc w:val="left"/>
      <w:outlineLvl w:val="2"/>
    </w:pPr>
    <w:rPr>
      <w:rFonts w:ascii="宋体" w:hAnsi="宋体" w:eastAsia="宋体"/>
      <w:kern w:val="0"/>
      <w:szCs w:val="21"/>
      <w:lang w:eastAsia="en-US"/>
    </w:rPr>
  </w:style>
  <w:style w:type="paragraph" w:customStyle="1" w:styleId="63">
    <w:name w:val="新正文"/>
    <w:basedOn w:val="1"/>
    <w:next w:val="1"/>
    <w:qFormat/>
    <w:uiPriority w:val="0"/>
    <w:pPr>
      <w:adjustRightInd w:val="0"/>
      <w:snapToGrid w:val="0"/>
      <w:spacing w:line="440" w:lineRule="atLeast"/>
    </w:pPr>
    <w:rPr>
      <w:rFonts w:ascii="宋体" w:hAnsi="宋体"/>
      <w:snapToGrid w:val="0"/>
      <w:color w:val="000000"/>
      <w:sz w:val="24"/>
    </w:rPr>
  </w:style>
  <w:style w:type="character" w:customStyle="1" w:styleId="64">
    <w:name w:val="font31"/>
    <w:qFormat/>
    <w:uiPriority w:val="0"/>
    <w:rPr>
      <w:rFonts w:hint="eastAsia" w:ascii="宋体" w:hAnsi="宋体" w:eastAsia="宋体" w:cs="宋体"/>
      <w:color w:val="000000"/>
      <w:sz w:val="36"/>
      <w:szCs w:val="36"/>
      <w:u w:val="none"/>
    </w:rPr>
  </w:style>
  <w:style w:type="paragraph" w:customStyle="1" w:styleId="65">
    <w:name w:val="Body text|1"/>
    <w:basedOn w:val="1"/>
    <w:qFormat/>
    <w:uiPriority w:val="0"/>
    <w:pPr>
      <w:widowControl/>
      <w:spacing w:line="422" w:lineRule="auto"/>
      <w:ind w:firstLine="300"/>
      <w:jc w:val="left"/>
    </w:pPr>
    <w:rPr>
      <w:rFonts w:ascii="宋体" w:hAnsi="宋体" w:cs="宋体"/>
      <w:color w:val="717171"/>
      <w:kern w:val="0"/>
      <w:sz w:val="17"/>
      <w:szCs w:val="17"/>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0A17-9879-40BC-B27D-2CD0A42BAB3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26864</Words>
  <Characters>29320</Characters>
  <Lines>181</Lines>
  <Paragraphs>51</Paragraphs>
  <TotalTime>2</TotalTime>
  <ScaleCrop>false</ScaleCrop>
  <LinksUpToDate>false</LinksUpToDate>
  <CharactersWithSpaces>30689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2024-01-09T08:45:00Z</dcterms:created>
  <dc:creator>NTKO</dc:creator>
  <cp:lastModifiedBy>罗强</cp:lastModifiedBy>
  <dcterms:modified xsi:type="dcterms:W3CDTF">2024-09-11T02:40:32Z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B3AB4BB37EDC4DC4BDE6A19DB04B17E4_13</vt:lpwstr>
  </property>
</Properties>
</file>